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tabs>
          <w:tab w:val="left" w:pos="420"/>
          <w:tab w:val="left" w:pos="6660"/>
        </w:tabs>
        <w:spacing w:line="360" w:lineRule="auto"/>
        <w:ind w:right="-197" w:rightChars="-94"/>
        <w:jc w:val="center"/>
        <w:rPr>
          <w:rFonts w:hint="eastAsia" w:ascii="宋体" w:hAnsi="宋体" w:eastAsia="宋体" w:cs="宋体"/>
          <w:b/>
          <w:bCs/>
          <w:color w:val="auto"/>
          <w:sz w:val="44"/>
          <w:szCs w:val="44"/>
          <w:highlight w:val="none"/>
          <w:lang w:eastAsia="zh-CN"/>
        </w:rPr>
      </w:pPr>
    </w:p>
    <w:p>
      <w:pPr>
        <w:pStyle w:val="73"/>
        <w:rPr>
          <w:rFonts w:hint="eastAsia"/>
          <w:lang w:eastAsia="zh-CN"/>
        </w:rPr>
      </w:pPr>
    </w:p>
    <w:p>
      <w:pPr>
        <w:pStyle w:val="20"/>
        <w:jc w:val="center"/>
        <w:rPr>
          <w:rFonts w:hint="eastAsia"/>
          <w:lang w:val="en-US" w:eastAsia="zh-CN"/>
        </w:rPr>
      </w:pPr>
      <w:r>
        <w:rPr>
          <w:rFonts w:hint="eastAsia" w:ascii="宋体" w:hAnsi="宋体" w:cs="宋体"/>
          <w:b/>
          <w:bCs/>
          <w:color w:val="auto"/>
          <w:sz w:val="48"/>
          <w:szCs w:val="48"/>
          <w:highlight w:val="none"/>
          <w:lang w:eastAsia="zh-CN"/>
        </w:rPr>
        <w:t>佛山市三水区国睿再生资源回收有限公司国睿冷库基础设施配套项目（第二次）</w:t>
      </w:r>
    </w:p>
    <w:p>
      <w:pPr>
        <w:pStyle w:val="269"/>
        <w:shd w:val="clear" w:color="auto" w:fill="auto"/>
        <w:rPr>
          <w:rFonts w:hint="eastAsia" w:ascii="宋体" w:hAnsi="宋体" w:eastAsia="宋体" w:cs="宋体"/>
          <w:color w:val="auto"/>
          <w:sz w:val="48"/>
          <w:szCs w:val="48"/>
          <w:highlight w:val="none"/>
        </w:rPr>
      </w:pPr>
    </w:p>
    <w:p>
      <w:pPr>
        <w:shd w:val="clear" w:color="auto" w:fill="auto"/>
        <w:spacing w:line="480" w:lineRule="auto"/>
        <w:jc w:val="center"/>
        <w:rPr>
          <w:rFonts w:hint="eastAsia" w:ascii="宋体" w:hAnsi="宋体" w:eastAsia="宋体" w:cs="宋体"/>
          <w:b/>
          <w:bCs/>
          <w:color w:val="auto"/>
          <w:kern w:val="0"/>
          <w:sz w:val="48"/>
          <w:szCs w:val="48"/>
          <w:highlight w:val="none"/>
        </w:rPr>
      </w:pPr>
    </w:p>
    <w:p>
      <w:pPr>
        <w:pStyle w:val="269"/>
        <w:shd w:val="clear" w:color="auto" w:fill="auto"/>
        <w:rPr>
          <w:rFonts w:hint="eastAsia" w:ascii="宋体" w:hAnsi="宋体" w:eastAsia="宋体" w:cs="宋体"/>
          <w:color w:val="auto"/>
          <w:highlight w:val="none"/>
        </w:rPr>
      </w:pPr>
    </w:p>
    <w:p>
      <w:pPr>
        <w:pStyle w:val="269"/>
        <w:shd w:val="clear" w:color="auto" w:fill="auto"/>
        <w:rPr>
          <w:rFonts w:hint="eastAsia" w:ascii="宋体" w:hAnsi="宋体" w:eastAsia="宋体" w:cs="宋体"/>
          <w:color w:val="auto"/>
          <w:highlight w:val="none"/>
        </w:rPr>
      </w:pPr>
    </w:p>
    <w:p>
      <w:pPr>
        <w:shd w:val="clear" w:color="auto" w:fill="auto"/>
        <w:tabs>
          <w:tab w:val="left" w:pos="420"/>
          <w:tab w:val="left" w:pos="6660"/>
        </w:tabs>
        <w:spacing w:line="360" w:lineRule="auto"/>
        <w:ind w:right="-197" w:rightChars="-94"/>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lang w:eastAsia="zh-CN"/>
        </w:rPr>
        <w:t>招标</w:t>
      </w:r>
      <w:r>
        <w:rPr>
          <w:rFonts w:hint="eastAsia" w:ascii="宋体" w:hAnsi="宋体" w:eastAsia="宋体" w:cs="宋体"/>
          <w:b/>
          <w:color w:val="auto"/>
          <w:sz w:val="48"/>
          <w:szCs w:val="48"/>
          <w:highlight w:val="none"/>
        </w:rPr>
        <w:t>文件</w:t>
      </w:r>
    </w:p>
    <w:p>
      <w:pPr>
        <w:shd w:val="clear" w:color="auto" w:fill="auto"/>
        <w:tabs>
          <w:tab w:val="left" w:pos="420"/>
          <w:tab w:val="left" w:pos="6660"/>
        </w:tabs>
        <w:spacing w:line="360" w:lineRule="auto"/>
        <w:ind w:right="-197" w:rightChars="-94"/>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邀请招标</w:t>
      </w:r>
      <w:r>
        <w:rPr>
          <w:rFonts w:hint="eastAsia" w:ascii="宋体" w:hAnsi="宋体" w:eastAsia="宋体" w:cs="宋体"/>
          <w:b/>
          <w:color w:val="auto"/>
          <w:sz w:val="32"/>
          <w:szCs w:val="32"/>
          <w:highlight w:val="none"/>
          <w:lang w:eastAsia="zh-CN"/>
        </w:rPr>
        <w:t>）</w:t>
      </w:r>
    </w:p>
    <w:p>
      <w:pPr>
        <w:pStyle w:val="71"/>
        <w:shd w:val="clear" w:color="auto" w:fill="auto"/>
        <w:rPr>
          <w:rFonts w:hint="eastAsia" w:ascii="宋体" w:hAnsi="宋体" w:eastAsia="宋体" w:cs="宋体"/>
          <w:color w:val="auto"/>
          <w:highlight w:val="none"/>
        </w:rPr>
      </w:pPr>
    </w:p>
    <w:p>
      <w:pPr>
        <w:pStyle w:val="71"/>
        <w:shd w:val="clear" w:color="auto" w:fill="auto"/>
        <w:rPr>
          <w:rFonts w:hint="eastAsia" w:ascii="宋体" w:hAnsi="宋体" w:eastAsia="宋体" w:cs="宋体"/>
          <w:color w:val="auto"/>
          <w:highlight w:val="none"/>
        </w:rPr>
      </w:pPr>
    </w:p>
    <w:p>
      <w:pPr>
        <w:pStyle w:val="118"/>
        <w:shd w:val="clear" w:color="auto" w:fill="auto"/>
        <w:rPr>
          <w:rFonts w:hint="eastAsia" w:ascii="宋体" w:hAnsi="宋体" w:eastAsia="宋体" w:cs="宋体"/>
          <w:color w:val="auto"/>
          <w:highlight w:val="none"/>
        </w:rPr>
      </w:pPr>
    </w:p>
    <w:p>
      <w:pPr>
        <w:shd w:val="clear" w:color="auto" w:fill="auto"/>
        <w:spacing w:line="360" w:lineRule="auto"/>
        <w:ind w:right="-197" w:rightChars="-94"/>
        <w:jc w:val="center"/>
        <w:rPr>
          <w:rFonts w:hint="eastAsia" w:ascii="宋体" w:hAnsi="宋体" w:eastAsia="宋体" w:cs="宋体"/>
          <w:bCs/>
          <w:color w:val="auto"/>
          <w:szCs w:val="21"/>
          <w:highlight w:val="none"/>
        </w:rPr>
      </w:pPr>
    </w:p>
    <w:p>
      <w:pPr>
        <w:shd w:val="clear" w:color="auto" w:fill="auto"/>
        <w:spacing w:line="360" w:lineRule="auto"/>
        <w:ind w:right="-197" w:rightChars="-94" w:firstLine="602"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采购项目编号：</w:t>
      </w:r>
      <w:r>
        <w:rPr>
          <w:rFonts w:hint="eastAsia" w:ascii="宋体" w:hAnsi="宋体" w:cs="宋体"/>
          <w:b/>
          <w:bCs/>
          <w:color w:val="auto"/>
          <w:sz w:val="30"/>
          <w:szCs w:val="30"/>
          <w:highlight w:val="none"/>
          <w:u w:val="single"/>
          <w:lang w:val="en-US" w:eastAsia="zh-CN"/>
        </w:rPr>
        <w:t>JXGC-2023（SS）1201</w:t>
      </w: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DOCVARIABLE  采购编号  \* MERGEFORMAT </w:instrText>
      </w:r>
      <w:r>
        <w:rPr>
          <w:rFonts w:hint="eastAsia" w:ascii="宋体" w:hAnsi="宋体" w:eastAsia="宋体" w:cs="宋体"/>
          <w:b/>
          <w:bCs/>
          <w:color w:val="auto"/>
          <w:sz w:val="30"/>
          <w:szCs w:val="30"/>
          <w:highlight w:val="none"/>
        </w:rPr>
        <w:fldChar w:fldCharType="end"/>
      </w:r>
    </w:p>
    <w:p>
      <w:pPr>
        <w:shd w:val="clear" w:color="auto" w:fill="auto"/>
        <w:spacing w:line="360" w:lineRule="auto"/>
        <w:ind w:left="596" w:leftChars="284" w:right="-197" w:rightChars="-94" w:firstLine="0" w:firstLineChars="0"/>
        <w:jc w:val="left"/>
        <w:rPr>
          <w:rFonts w:hint="eastAsia" w:ascii="宋体" w:hAnsi="宋体" w:cs="宋体"/>
          <w:b/>
          <w:bCs/>
          <w:color w:val="auto"/>
          <w:sz w:val="30"/>
          <w:szCs w:val="30"/>
          <w:highlight w:val="none"/>
          <w:u w:val="single"/>
          <w:lang w:val="en-US" w:eastAsia="zh-CN"/>
        </w:rPr>
      </w:pPr>
      <w:r>
        <w:rPr>
          <w:rFonts w:hint="eastAsia" w:ascii="宋体" w:hAnsi="宋体" w:eastAsia="宋体" w:cs="宋体"/>
          <w:b/>
          <w:bCs/>
          <w:color w:val="auto"/>
          <w:sz w:val="30"/>
          <w:szCs w:val="30"/>
          <w:highlight w:val="none"/>
        </w:rPr>
        <w:t>采购项目名称</w:t>
      </w:r>
      <w:r>
        <w:rPr>
          <w:rFonts w:hint="eastAsia" w:ascii="宋体" w:hAnsi="宋体" w:eastAsia="宋体" w:cs="宋体"/>
          <w:b/>
          <w:bCs/>
          <w:color w:val="auto"/>
          <w:sz w:val="24"/>
          <w:szCs w:val="24"/>
          <w:highlight w:val="none"/>
        </w:rPr>
        <w:t>：</w:t>
      </w:r>
      <w:r>
        <w:rPr>
          <w:rFonts w:hint="eastAsia" w:ascii="宋体" w:hAnsi="宋体" w:cs="宋体"/>
          <w:b/>
          <w:bCs/>
          <w:color w:val="auto"/>
          <w:sz w:val="30"/>
          <w:szCs w:val="30"/>
          <w:highlight w:val="none"/>
          <w:u w:val="single"/>
          <w:lang w:val="en-US" w:eastAsia="zh-CN"/>
        </w:rPr>
        <w:t>佛山市三水区国睿再生资源回收有限公司国睿冷库基础设施配套项目（第二次）</w:t>
      </w:r>
    </w:p>
    <w:p>
      <w:pPr>
        <w:shd w:val="clear" w:color="auto" w:fill="auto"/>
        <w:spacing w:line="360" w:lineRule="auto"/>
        <w:ind w:right="-197" w:rightChars="-94"/>
        <w:jc w:val="center"/>
        <w:rPr>
          <w:rFonts w:hint="eastAsia" w:ascii="宋体" w:hAnsi="宋体" w:eastAsia="宋体" w:cs="宋体"/>
          <w:b/>
          <w:bCs/>
          <w:color w:val="auto"/>
          <w:sz w:val="30"/>
          <w:szCs w:val="30"/>
          <w:highlight w:val="none"/>
          <w:u w:val="single"/>
        </w:rPr>
      </w:pPr>
    </w:p>
    <w:p>
      <w:pPr>
        <w:shd w:val="clear" w:color="auto" w:fill="auto"/>
        <w:spacing w:line="360" w:lineRule="auto"/>
        <w:ind w:right="-197" w:rightChars="-94"/>
        <w:jc w:val="center"/>
        <w:rPr>
          <w:rFonts w:hint="eastAsia" w:ascii="宋体" w:hAnsi="宋体" w:eastAsia="宋体" w:cs="宋体"/>
          <w:b/>
          <w:bCs/>
          <w:color w:val="auto"/>
          <w:szCs w:val="21"/>
          <w:highlight w:val="none"/>
        </w:rPr>
      </w:pPr>
    </w:p>
    <w:p>
      <w:pPr>
        <w:pStyle w:val="269"/>
        <w:shd w:val="clear" w:color="auto" w:fill="auto"/>
        <w:rPr>
          <w:rFonts w:hint="eastAsia" w:ascii="宋体" w:hAnsi="宋体" w:eastAsia="宋体" w:cs="宋体"/>
          <w:b/>
          <w:bCs/>
          <w:color w:val="auto"/>
          <w:szCs w:val="21"/>
          <w:highlight w:val="none"/>
        </w:rPr>
      </w:pPr>
    </w:p>
    <w:p>
      <w:pPr>
        <w:shd w:val="clear" w:color="auto" w:fill="auto"/>
        <w:spacing w:line="360" w:lineRule="auto"/>
        <w:ind w:right="-197" w:rightChars="-94"/>
        <w:jc w:val="center"/>
        <w:rPr>
          <w:rFonts w:hint="eastAsia" w:ascii="宋体" w:hAnsi="宋体" w:eastAsia="宋体" w:cs="宋体"/>
          <w:b/>
          <w:bCs/>
          <w:color w:val="auto"/>
          <w:szCs w:val="21"/>
          <w:highlight w:val="none"/>
        </w:rPr>
      </w:pPr>
    </w:p>
    <w:p>
      <w:pPr>
        <w:shd w:val="clear" w:color="auto" w:fill="auto"/>
        <w:spacing w:line="360" w:lineRule="auto"/>
        <w:ind w:right="-197" w:rightChars="-94" w:firstLine="1446" w:firstLineChars="600"/>
        <w:jc w:val="both"/>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采购</w:t>
      </w:r>
      <w:r>
        <w:rPr>
          <w:rFonts w:hint="eastAsia" w:ascii="宋体" w:hAnsi="宋体" w:cs="宋体"/>
          <w:b/>
          <w:bCs/>
          <w:color w:val="auto"/>
          <w:sz w:val="24"/>
          <w:highlight w:val="none"/>
          <w:lang w:val="en-US" w:eastAsia="zh-CN"/>
        </w:rPr>
        <w:t>人</w:t>
      </w:r>
      <w:r>
        <w:rPr>
          <w:rFonts w:hint="eastAsia" w:ascii="宋体" w:hAnsi="宋体" w:eastAsia="宋体" w:cs="宋体"/>
          <w:b/>
          <w:bCs/>
          <w:color w:val="auto"/>
          <w:sz w:val="24"/>
          <w:highlight w:val="none"/>
        </w:rPr>
        <w:t>：</w:t>
      </w:r>
      <w:r>
        <w:rPr>
          <w:rFonts w:hint="eastAsia" w:ascii="宋体" w:hAnsi="宋体" w:cs="宋体"/>
          <w:b/>
          <w:bCs/>
          <w:color w:val="auto"/>
          <w:sz w:val="24"/>
          <w:highlight w:val="none"/>
          <w:lang w:eastAsia="zh-CN"/>
        </w:rPr>
        <w:t>佛山市三水区国睿再生资源回收有限公司</w:t>
      </w:r>
    </w:p>
    <w:p>
      <w:pPr>
        <w:shd w:val="clear" w:color="auto" w:fill="auto"/>
        <w:spacing w:line="360" w:lineRule="auto"/>
        <w:ind w:right="-197" w:rightChars="-94"/>
        <w:rPr>
          <w:rFonts w:hint="eastAsia" w:ascii="宋体" w:hAnsi="宋体" w:eastAsia="宋体" w:cs="宋体"/>
          <w:b/>
          <w:bCs/>
          <w:color w:val="auto"/>
          <w:sz w:val="24"/>
          <w:highlight w:val="none"/>
        </w:rPr>
      </w:pPr>
    </w:p>
    <w:p>
      <w:pPr>
        <w:shd w:val="clear" w:color="auto" w:fill="auto"/>
        <w:spacing w:line="360" w:lineRule="auto"/>
        <w:ind w:right="-197" w:rightChars="-94" w:firstLine="1446" w:firstLineChars="6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采购代理机构：</w:t>
      </w:r>
      <w:r>
        <w:rPr>
          <w:rFonts w:hint="eastAsia" w:ascii="宋体" w:hAnsi="宋体" w:eastAsia="宋体" w:cs="宋体"/>
          <w:b/>
          <w:bCs/>
          <w:color w:val="auto"/>
          <w:sz w:val="24"/>
          <w:highlight w:val="none"/>
          <w:lang w:eastAsia="zh-CN"/>
        </w:rPr>
        <w:t>广东杰信项目管理有限公司</w:t>
      </w:r>
    </w:p>
    <w:p>
      <w:pPr>
        <w:shd w:val="clear" w:color="auto" w:fill="auto"/>
        <w:spacing w:line="360" w:lineRule="auto"/>
        <w:ind w:right="-197" w:rightChars="-94" w:firstLine="1446" w:firstLineChars="600"/>
        <w:rPr>
          <w:rFonts w:hint="eastAsia" w:ascii="宋体" w:hAnsi="宋体" w:eastAsia="宋体" w:cs="宋体"/>
          <w:b/>
          <w:bCs/>
          <w:color w:val="auto"/>
          <w:sz w:val="24"/>
          <w:highlight w:val="none"/>
        </w:rPr>
      </w:pPr>
    </w:p>
    <w:p>
      <w:pPr>
        <w:shd w:val="clear" w:color="auto" w:fill="auto"/>
        <w:spacing w:line="360" w:lineRule="auto"/>
        <w:ind w:right="-197" w:rightChars="-94" w:firstLine="1446" w:firstLineChars="600"/>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日期：</w:t>
      </w:r>
      <w:r>
        <w:rPr>
          <w:rFonts w:hint="eastAsia" w:ascii="宋体" w:hAnsi="宋体" w:cs="宋体"/>
          <w:b/>
          <w:bCs/>
          <w:color w:val="auto"/>
          <w:sz w:val="24"/>
          <w:highlight w:val="none"/>
          <w:lang w:eastAsia="zh-CN"/>
        </w:rPr>
        <w:t>202</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lang w:eastAsia="zh-CN"/>
        </w:rPr>
        <w:t>年</w:t>
      </w:r>
      <w:r>
        <w:rPr>
          <w:rFonts w:hint="eastAsia" w:ascii="宋体" w:hAnsi="宋体" w:cs="宋体"/>
          <w:b/>
          <w:bCs/>
          <w:color w:val="auto"/>
          <w:sz w:val="24"/>
          <w:highlight w:val="none"/>
          <w:lang w:val="en-US" w:eastAsia="zh-CN"/>
        </w:rPr>
        <w:t xml:space="preserve">  </w:t>
      </w:r>
      <w:r>
        <w:rPr>
          <w:rFonts w:hint="eastAsia" w:ascii="宋体" w:hAnsi="宋体" w:cs="宋体"/>
          <w:b/>
          <w:bCs/>
          <w:color w:val="auto"/>
          <w:sz w:val="24"/>
          <w:highlight w:val="none"/>
          <w:lang w:eastAsia="zh-CN"/>
        </w:rPr>
        <w:t>月</w:t>
      </w:r>
      <w:r>
        <w:rPr>
          <w:rFonts w:hint="eastAsia" w:ascii="宋体" w:hAnsi="宋体" w:cs="宋体"/>
          <w:b/>
          <w:bCs/>
          <w:color w:val="auto"/>
          <w:sz w:val="24"/>
          <w:highlight w:val="none"/>
          <w:lang w:val="en-US" w:eastAsia="zh-CN"/>
        </w:rPr>
        <w:t xml:space="preserve">  </w:t>
      </w:r>
      <w:r>
        <w:rPr>
          <w:rFonts w:hint="eastAsia" w:ascii="宋体" w:hAnsi="宋体" w:cs="宋体"/>
          <w:b/>
          <w:bCs/>
          <w:color w:val="auto"/>
          <w:sz w:val="24"/>
          <w:highlight w:val="none"/>
          <w:lang w:eastAsia="zh-CN"/>
        </w:rPr>
        <w:t>日</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right="-197" w:rightChars="-94"/>
        <w:jc w:val="both"/>
        <w:textAlignment w:val="auto"/>
        <w:outlineLvl w:val="9"/>
        <w:rPr>
          <w:rFonts w:hint="eastAsia" w:ascii="宋体" w:hAnsi="宋体" w:eastAsia="宋体" w:cs="宋体"/>
          <w:b/>
          <w:color w:val="auto"/>
          <w:sz w:val="28"/>
          <w:szCs w:val="28"/>
          <w:highlight w:val="none"/>
        </w:rPr>
        <w:sectPr>
          <w:headerReference r:id="rId4" w:type="first"/>
          <w:headerReference r:id="rId3" w:type="default"/>
          <w:footerReference r:id="rId5" w:type="default"/>
          <w:pgSz w:w="11905" w:h="16838"/>
          <w:pgMar w:top="1361" w:right="1287" w:bottom="1361" w:left="1440" w:header="850" w:footer="822" w:gutter="0"/>
          <w:pgBorders>
            <w:top w:val="none" w:sz="0" w:space="0"/>
            <w:left w:val="none" w:sz="0" w:space="0"/>
            <w:bottom w:val="none" w:sz="0" w:space="0"/>
            <w:right w:val="none" w:sz="0" w:space="0"/>
          </w:pgBorders>
          <w:pgNumType w:start="1"/>
          <w:cols w:space="720" w:num="1"/>
          <w:titlePg/>
          <w:rtlGutter w:val="0"/>
          <w:docGrid w:linePitch="312" w:charSpace="0"/>
        </w:sectPr>
      </w:pP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right="-197" w:rightChars="-94"/>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温馨提示</w:t>
      </w:r>
    </w:p>
    <w:p>
      <w:pPr>
        <w:keepNext w:val="0"/>
        <w:keepLines w:val="0"/>
        <w:pageBreakBefore w:val="0"/>
        <w:widowControl w:val="0"/>
        <w:shd w:val="clear" w:color="auto" w:fill="auto"/>
        <w:tabs>
          <w:tab w:val="left" w:pos="851"/>
        </w:tabs>
        <w:kinsoku/>
        <w:wordWrap/>
        <w:overflowPunct/>
        <w:topLinePunct w:val="0"/>
        <w:autoSpaceDE/>
        <w:autoSpaceDN/>
        <w:bidi w:val="0"/>
        <w:adjustRightInd/>
        <w:snapToGrid/>
        <w:spacing w:line="360" w:lineRule="auto"/>
        <w:ind w:right="-197" w:rightChars="-94"/>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（本提示内容非</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的组成部分，仅为善意提醒。如有不一致，以</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为准）</w:t>
      </w:r>
    </w:p>
    <w:p>
      <w:pPr>
        <w:pStyle w:val="118"/>
        <w:shd w:val="clear" w:color="auto" w:fill="auto"/>
        <w:spacing w:line="360" w:lineRule="auto"/>
        <w:rPr>
          <w:rFonts w:hint="eastAsia" w:ascii="宋体" w:hAnsi="宋体" w:eastAsia="宋体" w:cs="宋体"/>
          <w:color w:val="auto"/>
          <w:sz w:val="24"/>
          <w:szCs w:val="24"/>
          <w:highlight w:val="none"/>
        </w:rPr>
      </w:pP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如无另行说明，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递交时间为</w:t>
      </w:r>
      <w:r>
        <w:rPr>
          <w:rFonts w:hint="eastAsia" w:ascii="宋体" w:hAnsi="宋体" w:eastAsia="宋体" w:cs="宋体"/>
          <w:color w:val="auto"/>
          <w:sz w:val="24"/>
          <w:szCs w:val="24"/>
          <w:highlight w:val="none"/>
          <w:lang w:eastAsia="zh-CN"/>
        </w:rPr>
        <w:t>投标文件</w:t>
      </w:r>
      <w:r>
        <w:rPr>
          <w:rFonts w:hint="eastAsia" w:ascii="宋体" w:hAnsi="宋体" w:eastAsia="宋体" w:cs="宋体"/>
          <w:b/>
          <w:color w:val="auto"/>
          <w:sz w:val="24"/>
          <w:szCs w:val="24"/>
          <w:highlight w:val="none"/>
          <w:u w:val="single"/>
        </w:rPr>
        <w:t>递交截止时间之前30分钟</w:t>
      </w:r>
      <w:r>
        <w:rPr>
          <w:rFonts w:hint="eastAsia" w:ascii="宋体" w:hAnsi="宋体" w:eastAsia="宋体" w:cs="宋体"/>
          <w:color w:val="auto"/>
          <w:sz w:val="24"/>
          <w:szCs w:val="24"/>
          <w:highlight w:val="none"/>
        </w:rPr>
        <w:t>内。</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为避免因迟到而失去</w:t>
      </w:r>
      <w:r>
        <w:rPr>
          <w:rFonts w:hint="eastAsia" w:ascii="宋体" w:hAnsi="宋体" w:eastAsia="宋体" w:cs="宋体"/>
          <w:color w:val="auto"/>
          <w:sz w:val="24"/>
          <w:szCs w:val="24"/>
          <w:highlight w:val="none"/>
          <w:lang w:eastAsia="zh-CN"/>
        </w:rPr>
        <w:t>投标资格</w:t>
      </w:r>
      <w:r>
        <w:rPr>
          <w:rFonts w:hint="eastAsia" w:ascii="宋体" w:hAnsi="宋体" w:eastAsia="宋体" w:cs="宋体"/>
          <w:color w:val="auto"/>
          <w:sz w:val="24"/>
          <w:szCs w:val="24"/>
          <w:highlight w:val="none"/>
        </w:rPr>
        <w:t>，请</w:t>
      </w:r>
      <w:r>
        <w:rPr>
          <w:rFonts w:hint="eastAsia" w:ascii="宋体" w:hAnsi="宋体" w:eastAsia="宋体" w:cs="宋体"/>
          <w:b/>
          <w:color w:val="auto"/>
          <w:sz w:val="24"/>
          <w:szCs w:val="24"/>
          <w:highlight w:val="none"/>
          <w:u w:val="single"/>
        </w:rPr>
        <w:t>适当提前到达</w:t>
      </w:r>
      <w:r>
        <w:rPr>
          <w:rFonts w:hint="eastAsia" w:ascii="宋体" w:hAnsi="宋体" w:eastAsia="宋体" w:cs="宋体"/>
          <w:color w:val="auto"/>
          <w:sz w:val="24"/>
          <w:szCs w:val="24"/>
          <w:highlight w:val="none"/>
        </w:rPr>
        <w:t>。</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请</w:t>
      </w:r>
      <w:r>
        <w:rPr>
          <w:rFonts w:hint="eastAsia" w:ascii="宋体" w:hAnsi="宋体" w:eastAsia="宋体" w:cs="宋体"/>
          <w:b/>
          <w:color w:val="auto"/>
          <w:sz w:val="24"/>
          <w:szCs w:val="24"/>
          <w:highlight w:val="none"/>
          <w:u w:val="single"/>
        </w:rPr>
        <w:t>注意区分</w:t>
      </w:r>
      <w:r>
        <w:rPr>
          <w:rFonts w:hint="eastAsia" w:ascii="宋体" w:hAnsi="宋体" w:eastAsia="宋体" w:cs="宋体"/>
          <w:color w:val="auto"/>
          <w:sz w:val="24"/>
          <w:szCs w:val="24"/>
          <w:highlight w:val="none"/>
          <w:lang w:val="en-US" w:eastAsia="zh-CN"/>
        </w:rPr>
        <w:t>投标保证金</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eastAsia="zh-CN"/>
        </w:rPr>
        <w:t>招标代理服务费</w:t>
      </w:r>
      <w:r>
        <w:rPr>
          <w:rFonts w:hint="eastAsia" w:ascii="宋体" w:hAnsi="宋体" w:eastAsia="宋体" w:cs="宋体"/>
          <w:b/>
          <w:color w:val="auto"/>
          <w:sz w:val="24"/>
          <w:szCs w:val="24"/>
          <w:highlight w:val="none"/>
          <w:u w:val="single"/>
        </w:rPr>
        <w:t>收款</w:t>
      </w:r>
      <w:r>
        <w:rPr>
          <w:rFonts w:hint="eastAsia" w:ascii="宋体" w:hAnsi="宋体" w:eastAsia="宋体" w:cs="宋体"/>
          <w:b/>
          <w:color w:val="auto"/>
          <w:sz w:val="24"/>
          <w:szCs w:val="24"/>
          <w:highlight w:val="none"/>
          <w:u w:val="single"/>
          <w:lang w:eastAsia="zh-CN"/>
        </w:rPr>
        <w:t>账</w:t>
      </w:r>
      <w:r>
        <w:rPr>
          <w:rFonts w:hint="eastAsia" w:ascii="宋体" w:hAnsi="宋体" w:eastAsia="宋体" w:cs="宋体"/>
          <w:b/>
          <w:color w:val="auto"/>
          <w:sz w:val="24"/>
          <w:szCs w:val="24"/>
          <w:highlight w:val="none"/>
          <w:u w:val="single"/>
        </w:rPr>
        <w:t>号</w:t>
      </w:r>
      <w:r>
        <w:rPr>
          <w:rFonts w:hint="eastAsia" w:ascii="宋体" w:hAnsi="宋体" w:eastAsia="宋体" w:cs="宋体"/>
          <w:color w:val="auto"/>
          <w:sz w:val="24"/>
          <w:szCs w:val="24"/>
          <w:highlight w:val="none"/>
        </w:rPr>
        <w:t>的区别，务必将</w:t>
      </w:r>
      <w:r>
        <w:rPr>
          <w:rFonts w:hint="eastAsia" w:ascii="宋体" w:hAnsi="宋体" w:eastAsia="宋体" w:cs="宋体"/>
          <w:color w:val="auto"/>
          <w:sz w:val="24"/>
          <w:szCs w:val="24"/>
          <w:highlight w:val="none"/>
          <w:lang w:val="en-US" w:eastAsia="zh-CN"/>
        </w:rPr>
        <w:t>投标保证金</w:t>
      </w:r>
      <w:r>
        <w:rPr>
          <w:rFonts w:hint="eastAsia" w:ascii="宋体" w:hAnsi="宋体" w:eastAsia="宋体" w:cs="宋体"/>
          <w:color w:val="auto"/>
          <w:sz w:val="24"/>
          <w:szCs w:val="24"/>
          <w:highlight w:val="none"/>
        </w:rPr>
        <w:t>按</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的要求存入指定的</w:t>
      </w:r>
      <w:r>
        <w:rPr>
          <w:rFonts w:hint="eastAsia" w:ascii="宋体" w:hAnsi="宋体" w:eastAsia="宋体" w:cs="宋体"/>
          <w:b/>
          <w:color w:val="auto"/>
          <w:sz w:val="24"/>
          <w:szCs w:val="24"/>
          <w:highlight w:val="none"/>
          <w:u w:val="single"/>
        </w:rPr>
        <w:t>保证金专用账户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招标代理服务费</w:t>
      </w:r>
      <w:r>
        <w:rPr>
          <w:rFonts w:hint="eastAsia" w:ascii="宋体" w:hAnsi="宋体" w:eastAsia="宋体" w:cs="宋体"/>
          <w:color w:val="auto"/>
          <w:sz w:val="24"/>
          <w:szCs w:val="24"/>
          <w:highlight w:val="none"/>
        </w:rPr>
        <w:t>存入</w:t>
      </w:r>
      <w:r>
        <w:rPr>
          <w:rFonts w:hint="eastAsia" w:ascii="宋体" w:hAnsi="宋体" w:eastAsia="宋体" w:cs="宋体"/>
          <w:color w:val="auto"/>
          <w:sz w:val="24"/>
          <w:szCs w:val="24"/>
          <w:highlight w:val="none"/>
          <w:lang w:eastAsia="zh-CN"/>
        </w:rPr>
        <w:t>中标通知书</w:t>
      </w:r>
      <w:r>
        <w:rPr>
          <w:rFonts w:hint="eastAsia" w:ascii="宋体" w:hAnsi="宋体" w:eastAsia="宋体" w:cs="宋体"/>
          <w:color w:val="auto"/>
          <w:sz w:val="24"/>
          <w:szCs w:val="24"/>
          <w:highlight w:val="none"/>
        </w:rPr>
        <w:t>中指定的</w:t>
      </w:r>
      <w:r>
        <w:rPr>
          <w:rFonts w:hint="eastAsia" w:ascii="宋体" w:hAnsi="宋体" w:eastAsia="宋体" w:cs="宋体"/>
          <w:b/>
          <w:color w:val="auto"/>
          <w:sz w:val="24"/>
          <w:szCs w:val="24"/>
          <w:highlight w:val="none"/>
          <w:u w:val="single"/>
        </w:rPr>
        <w:t>服务费账户</w:t>
      </w:r>
      <w:r>
        <w:rPr>
          <w:rFonts w:hint="eastAsia" w:ascii="宋体" w:hAnsi="宋体" w:eastAsia="宋体" w:cs="宋体"/>
          <w:color w:val="auto"/>
          <w:sz w:val="24"/>
          <w:szCs w:val="24"/>
          <w:highlight w:val="none"/>
        </w:rPr>
        <w:t>。切勿将款项转错账户，以免影响保证金退还的速度。</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应按顺序</w:t>
      </w:r>
      <w:r>
        <w:rPr>
          <w:rFonts w:hint="eastAsia" w:ascii="宋体" w:hAnsi="宋体" w:eastAsia="宋体" w:cs="宋体"/>
          <w:b/>
          <w:color w:val="auto"/>
          <w:sz w:val="24"/>
          <w:szCs w:val="24"/>
          <w:highlight w:val="none"/>
          <w:u w:val="single"/>
        </w:rPr>
        <w:t>编制页码</w:t>
      </w:r>
      <w:r>
        <w:rPr>
          <w:rFonts w:hint="eastAsia" w:ascii="宋体" w:hAnsi="宋体" w:eastAsia="宋体" w:cs="宋体"/>
          <w:color w:val="auto"/>
          <w:sz w:val="24"/>
          <w:szCs w:val="24"/>
          <w:highlight w:val="none"/>
        </w:rPr>
        <w:t>。</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请仔细检查</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是否已按</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要求</w:t>
      </w:r>
      <w:r>
        <w:rPr>
          <w:rFonts w:hint="eastAsia" w:ascii="宋体" w:hAnsi="宋体" w:eastAsia="宋体" w:cs="宋体"/>
          <w:b/>
          <w:color w:val="auto"/>
          <w:sz w:val="24"/>
          <w:szCs w:val="24"/>
          <w:highlight w:val="none"/>
          <w:u w:val="single"/>
        </w:rPr>
        <w:t>盖章、签名、签署日期</w:t>
      </w:r>
      <w:r>
        <w:rPr>
          <w:rFonts w:hint="eastAsia" w:ascii="宋体" w:hAnsi="宋体" w:eastAsia="宋体" w:cs="宋体"/>
          <w:color w:val="auto"/>
          <w:sz w:val="24"/>
          <w:szCs w:val="24"/>
          <w:highlight w:val="none"/>
        </w:rPr>
        <w:t>。</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请正确填写《报价一览表》。多子包项目请仔细检查子包号，子包号与子包名称必须对应。</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w:t>
      </w:r>
      <w:r>
        <w:rPr>
          <w:rFonts w:hint="eastAsia" w:ascii="宋体" w:hAnsi="宋体" w:eastAsia="宋体" w:cs="宋体"/>
          <w:color w:val="auto"/>
          <w:sz w:val="24"/>
          <w:szCs w:val="24"/>
          <w:highlight w:val="none"/>
          <w:lang w:eastAsia="zh-CN"/>
        </w:rPr>
        <w:t>响应/报价</w:t>
      </w:r>
      <w:r>
        <w:rPr>
          <w:rFonts w:hint="eastAsia" w:ascii="宋体" w:hAnsi="宋体" w:eastAsia="宋体" w:cs="宋体"/>
          <w:color w:val="auto"/>
          <w:sz w:val="24"/>
          <w:szCs w:val="24"/>
          <w:highlight w:val="none"/>
        </w:rPr>
        <w:t>产品属于许可证管理范围内的，须提交相应的许可证复印件。</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以</w:t>
      </w:r>
      <w:r>
        <w:rPr>
          <w:rFonts w:hint="eastAsia" w:ascii="宋体" w:hAnsi="宋体" w:cs="宋体"/>
          <w:color w:val="auto"/>
          <w:sz w:val="24"/>
          <w:szCs w:val="24"/>
          <w:highlight w:val="none"/>
          <w:lang w:val="en-US" w:eastAsia="zh-CN"/>
        </w:rPr>
        <w:t>分支机构</w:t>
      </w:r>
      <w:r>
        <w:rPr>
          <w:rFonts w:hint="eastAsia" w:ascii="宋体" w:hAnsi="宋体" w:eastAsia="宋体" w:cs="宋体"/>
          <w:color w:val="auto"/>
          <w:sz w:val="24"/>
          <w:szCs w:val="24"/>
          <w:highlight w:val="none"/>
        </w:rPr>
        <w:t>名义代表总公司盖章和签署文件的，须提供总公司的营业执照副本复印件及总公司针对本项目</w:t>
      </w:r>
      <w:r>
        <w:rPr>
          <w:rFonts w:hint="eastAsia" w:ascii="宋体" w:hAnsi="宋体" w:eastAsia="宋体" w:cs="宋体"/>
          <w:color w:val="auto"/>
          <w:sz w:val="24"/>
          <w:szCs w:val="24"/>
          <w:highlight w:val="none"/>
          <w:lang w:eastAsia="zh-CN"/>
        </w:rPr>
        <w:t>响应/报价</w:t>
      </w:r>
      <w:r>
        <w:rPr>
          <w:rFonts w:hint="eastAsia" w:ascii="宋体" w:hAnsi="宋体" w:eastAsia="宋体" w:cs="宋体"/>
          <w:color w:val="auto"/>
          <w:sz w:val="24"/>
          <w:szCs w:val="24"/>
          <w:highlight w:val="none"/>
        </w:rPr>
        <w:t>的授权书原件。</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w:t>
      </w:r>
      <w:r>
        <w:rPr>
          <w:rFonts w:hint="eastAsia" w:ascii="宋体" w:hAnsi="宋体" w:eastAsia="宋体" w:cs="宋体"/>
          <w:color w:val="auto"/>
          <w:sz w:val="24"/>
          <w:szCs w:val="24"/>
          <w:highlight w:val="none"/>
          <w:lang w:eastAsia="zh-CN"/>
        </w:rPr>
        <w:t>响应/报价</w:t>
      </w:r>
      <w:r>
        <w:rPr>
          <w:rFonts w:hint="eastAsia" w:ascii="宋体" w:hAnsi="宋体" w:eastAsia="宋体" w:cs="宋体"/>
          <w:color w:val="auto"/>
          <w:sz w:val="24"/>
          <w:szCs w:val="24"/>
          <w:highlight w:val="none"/>
        </w:rPr>
        <w:t>的，请提交《联合体共同</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协议书》</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如有</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招标文件中要求有“原件核对”情况的，均要求投标人把相应原件带至现场与投标文件一并递交。 </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为了提高</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效率，节约社会交易成本与时间，本</w:t>
      </w:r>
      <w:r>
        <w:rPr>
          <w:rFonts w:hint="eastAsia" w:ascii="宋体" w:hAnsi="宋体" w:eastAsia="宋体" w:cs="宋体"/>
          <w:color w:val="auto"/>
          <w:sz w:val="24"/>
          <w:szCs w:val="24"/>
          <w:highlight w:val="none"/>
          <w:lang w:eastAsia="zh-CN"/>
        </w:rPr>
        <w:t>公司</w:t>
      </w:r>
      <w:r>
        <w:rPr>
          <w:rFonts w:hint="eastAsia" w:ascii="宋体" w:hAnsi="宋体" w:eastAsia="宋体" w:cs="宋体"/>
          <w:color w:val="auto"/>
          <w:sz w:val="24"/>
          <w:szCs w:val="24"/>
          <w:highlight w:val="none"/>
        </w:rPr>
        <w:t>希望购买了</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而决定不参加本次</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递交截止时间的3日前，按《</w:t>
      </w:r>
      <w:r>
        <w:rPr>
          <w:rFonts w:hint="eastAsia" w:ascii="宋体" w:hAnsi="宋体" w:cs="宋体"/>
          <w:color w:val="auto"/>
          <w:sz w:val="24"/>
          <w:szCs w:val="24"/>
          <w:highlight w:val="none"/>
          <w:lang w:eastAsia="zh-CN"/>
        </w:rPr>
        <w:t>投标邀请书</w:t>
      </w:r>
      <w:r>
        <w:rPr>
          <w:rFonts w:hint="eastAsia" w:ascii="宋体" w:hAnsi="宋体" w:eastAsia="宋体" w:cs="宋体"/>
          <w:color w:val="auto"/>
          <w:sz w:val="24"/>
          <w:szCs w:val="24"/>
          <w:highlight w:val="none"/>
        </w:rPr>
        <w:t>》中的联系方式，以书面形式告知</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。对您的支持与配合，谨此致谢。</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如需对项目提出询问或质疑，应按</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附件中的询问函和质疑函的格式提交。</w:t>
      </w:r>
    </w:p>
    <w:p>
      <w:pPr>
        <w:keepNext w:val="0"/>
        <w:keepLines w:val="0"/>
        <w:pageBreakBefore w:val="0"/>
        <w:widowControl w:val="0"/>
        <w:numPr>
          <w:ilvl w:val="0"/>
          <w:numId w:val="3"/>
        </w:numPr>
        <w:shd w:val="clear" w:color="auto" w:fill="auto"/>
        <w:tabs>
          <w:tab w:val="left" w:pos="851"/>
        </w:tabs>
        <w:kinsoku/>
        <w:wordWrap/>
        <w:overflowPunct/>
        <w:topLinePunct w:val="0"/>
        <w:autoSpaceDE/>
        <w:autoSpaceDN/>
        <w:bidi w:val="0"/>
        <w:adjustRightInd/>
        <w:snapToGrid/>
        <w:spacing w:line="360" w:lineRule="auto"/>
        <w:ind w:left="851" w:right="-197" w:rightChars="-94" w:hanging="851"/>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因场地有限，本单位无法提供停车位，不便之处敬请谅解。如有需要，请到周边的停车场停车。</w:t>
      </w:r>
    </w:p>
    <w:p>
      <w:pPr>
        <w:pStyle w:val="73"/>
        <w:rPr>
          <w:rFonts w:hint="eastAsia" w:ascii="宋体" w:hAnsi="宋体" w:eastAsia="宋体" w:cs="宋体"/>
          <w:color w:val="auto"/>
          <w:sz w:val="24"/>
          <w:szCs w:val="24"/>
          <w:highlight w:val="none"/>
        </w:rPr>
      </w:pPr>
    </w:p>
    <w:p>
      <w:pPr>
        <w:pStyle w:val="73"/>
        <w:rPr>
          <w:rFonts w:hint="eastAsia" w:ascii="宋体" w:hAnsi="宋体" w:eastAsia="宋体" w:cs="宋体"/>
          <w:color w:val="auto"/>
          <w:sz w:val="24"/>
          <w:szCs w:val="24"/>
          <w:highlight w:val="none"/>
        </w:rPr>
      </w:pPr>
    </w:p>
    <w:p>
      <w:pPr>
        <w:pStyle w:val="73"/>
        <w:rPr>
          <w:rFonts w:hint="eastAsia" w:ascii="宋体" w:hAnsi="宋体" w:eastAsia="宋体" w:cs="宋体"/>
          <w:color w:val="auto"/>
          <w:sz w:val="24"/>
          <w:szCs w:val="24"/>
          <w:highlight w:val="none"/>
        </w:rPr>
      </w:pPr>
    </w:p>
    <w:p>
      <w:pPr>
        <w:pStyle w:val="73"/>
        <w:rPr>
          <w:rFonts w:hint="eastAsia" w:ascii="宋体" w:hAnsi="宋体" w:eastAsia="宋体" w:cs="宋体"/>
          <w:color w:val="auto"/>
          <w:sz w:val="24"/>
          <w:szCs w:val="24"/>
          <w:highlight w:val="none"/>
        </w:rPr>
      </w:pPr>
    </w:p>
    <w:p>
      <w:pPr>
        <w:pStyle w:val="251"/>
        <w:shd w:val="clear" w:color="auto" w:fill="auto"/>
        <w:rPr>
          <w:rFonts w:hint="eastAsia" w:ascii="宋体" w:hAnsi="宋体" w:eastAsia="宋体" w:cs="宋体"/>
          <w:color w:val="auto"/>
          <w:szCs w:val="21"/>
          <w:highlight w:val="none"/>
        </w:rPr>
      </w:pPr>
    </w:p>
    <w:p>
      <w:pPr>
        <w:rPr>
          <w:rFonts w:hint="eastAsia"/>
        </w:rPr>
      </w:pPr>
    </w:p>
    <w:p>
      <w:pPr>
        <w:shd w:val="clear" w:color="auto" w:fill="auto"/>
        <w:spacing w:line="240" w:lineRule="auto"/>
        <w:ind w:right="0" w:rightChars="0"/>
        <w:jc w:val="left"/>
        <w:rPr>
          <w:rFonts w:hint="eastAsia" w:ascii="宋体" w:hAnsi="宋体" w:eastAsia="宋体" w:cs="宋体"/>
          <w:b/>
          <w:color w:val="auto"/>
          <w:kern w:val="0"/>
          <w:sz w:val="48"/>
          <w:szCs w:val="48"/>
          <w:highlight w:val="none"/>
        </w:rPr>
      </w:pPr>
      <w:r>
        <w:rPr>
          <w:rFonts w:hint="eastAsia" w:ascii="宋体" w:hAnsi="宋体" w:eastAsia="宋体" w:cs="宋体"/>
          <w:b/>
          <w:color w:val="auto"/>
          <w:kern w:val="0"/>
          <w:sz w:val="48"/>
          <w:szCs w:val="48"/>
          <w:highlight w:val="none"/>
        </w:rPr>
        <w:br w:type="page"/>
      </w:r>
    </w:p>
    <w:p>
      <w:pPr>
        <w:shd w:val="clear" w:color="auto" w:fill="auto"/>
        <w:spacing w:line="360" w:lineRule="auto"/>
        <w:ind w:right="-197" w:rightChars="-94"/>
        <w:jc w:val="center"/>
        <w:rPr>
          <w:rFonts w:hint="eastAsia" w:ascii="宋体" w:hAnsi="宋体" w:eastAsia="宋体" w:cs="宋体"/>
          <w:b/>
          <w:color w:val="auto"/>
          <w:kern w:val="0"/>
          <w:sz w:val="48"/>
          <w:szCs w:val="48"/>
          <w:highlight w:val="none"/>
        </w:rPr>
      </w:pPr>
      <w:r>
        <w:rPr>
          <w:rFonts w:hint="eastAsia" w:ascii="宋体" w:hAnsi="宋体" w:eastAsia="宋体" w:cs="宋体"/>
          <w:b/>
          <w:color w:val="auto"/>
          <w:kern w:val="0"/>
          <w:sz w:val="48"/>
          <w:szCs w:val="48"/>
          <w:highlight w:val="none"/>
        </w:rPr>
        <w:t>目    录</w:t>
      </w:r>
    </w:p>
    <w:p>
      <w:pPr>
        <w:pStyle w:val="37"/>
        <w:tabs>
          <w:tab w:val="right" w:leader="dot" w:pos="9411"/>
        </w:tabs>
        <w:spacing w:line="360" w:lineRule="auto"/>
        <w:rPr>
          <w:rFonts w:hint="eastAsia" w:ascii="宋体" w:hAnsi="宋体" w:cs="宋体"/>
          <w:sz w:val="28"/>
          <w:szCs w:val="28"/>
        </w:rPr>
      </w:pPr>
      <w:r>
        <w:rPr>
          <w:rFonts w:hint="eastAsia" w:ascii="宋体" w:hAnsi="宋体" w:eastAsia="宋体" w:cs="宋体"/>
          <w:caps w:val="0"/>
          <w:color w:val="auto"/>
          <w:kern w:val="0"/>
          <w:sz w:val="28"/>
          <w:szCs w:val="28"/>
          <w:highlight w:val="none"/>
        </w:rPr>
        <w:fldChar w:fldCharType="begin"/>
      </w:r>
      <w:r>
        <w:rPr>
          <w:rFonts w:hint="eastAsia" w:ascii="宋体" w:hAnsi="宋体" w:eastAsia="宋体" w:cs="宋体"/>
          <w:caps w:val="0"/>
          <w:color w:val="auto"/>
          <w:kern w:val="0"/>
          <w:sz w:val="28"/>
          <w:szCs w:val="28"/>
          <w:highlight w:val="none"/>
        </w:rPr>
        <w:instrText xml:space="preserve">TOC \o "1-1" \h \u </w:instrText>
      </w:r>
      <w:r>
        <w:rPr>
          <w:rFonts w:hint="eastAsia" w:ascii="宋体" w:hAnsi="宋体" w:eastAsia="宋体" w:cs="宋体"/>
          <w:caps w:val="0"/>
          <w:color w:val="auto"/>
          <w:kern w:val="0"/>
          <w:sz w:val="28"/>
          <w:szCs w:val="28"/>
          <w:highlight w:val="none"/>
        </w:rPr>
        <w:fldChar w:fldCharType="separate"/>
      </w:r>
      <w:r>
        <w:rPr>
          <w:rFonts w:hint="eastAsia" w:ascii="宋体" w:hAnsi="宋体" w:eastAsia="宋体" w:cs="宋体"/>
          <w:caps w:val="0"/>
          <w:color w:val="auto"/>
          <w:kern w:val="0"/>
          <w:sz w:val="28"/>
          <w:szCs w:val="28"/>
          <w:highlight w:val="none"/>
        </w:rPr>
        <w:fldChar w:fldCharType="begin"/>
      </w:r>
      <w:r>
        <w:rPr>
          <w:rFonts w:hint="eastAsia" w:ascii="宋体" w:hAnsi="宋体" w:eastAsia="宋体" w:cs="宋体"/>
          <w:caps w:val="0"/>
          <w:kern w:val="0"/>
          <w:sz w:val="28"/>
          <w:szCs w:val="28"/>
          <w:highlight w:val="none"/>
        </w:rPr>
        <w:instrText xml:space="preserve"> HYPERLINK \l _Toc12081 </w:instrText>
      </w:r>
      <w:r>
        <w:rPr>
          <w:rFonts w:hint="eastAsia" w:ascii="宋体" w:hAnsi="宋体" w:eastAsia="宋体" w:cs="宋体"/>
          <w:caps w:val="0"/>
          <w:kern w:val="0"/>
          <w:sz w:val="28"/>
          <w:szCs w:val="28"/>
          <w:highlight w:val="none"/>
        </w:rPr>
        <w:fldChar w:fldCharType="separate"/>
      </w:r>
      <w:r>
        <w:rPr>
          <w:rFonts w:hint="eastAsia" w:ascii="宋体" w:hAnsi="宋体" w:eastAsia="宋体" w:cs="宋体"/>
          <w:smallCaps w:val="0"/>
          <w:kern w:val="0"/>
          <w:sz w:val="28"/>
          <w:szCs w:val="28"/>
          <w:highlight w:val="none"/>
        </w:rPr>
        <w:t xml:space="preserve">第一部分  </w:t>
      </w:r>
      <w:r>
        <w:rPr>
          <w:rFonts w:hint="eastAsia" w:ascii="宋体" w:hAnsi="宋体" w:cs="宋体"/>
          <w:smallCaps w:val="0"/>
          <w:kern w:val="0"/>
          <w:sz w:val="28"/>
          <w:szCs w:val="28"/>
          <w:highlight w:val="none"/>
          <w:lang w:eastAsia="zh-CN"/>
        </w:rPr>
        <w:t>投标邀请书</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_Toc12081 \h </w:instrText>
      </w:r>
      <w:r>
        <w:rPr>
          <w:rFonts w:hint="eastAsia" w:ascii="宋体" w:hAnsi="宋体" w:cs="宋体"/>
          <w:sz w:val="28"/>
          <w:szCs w:val="28"/>
        </w:rPr>
        <w:fldChar w:fldCharType="separate"/>
      </w:r>
      <w:r>
        <w:rPr>
          <w:rFonts w:hint="eastAsia" w:ascii="宋体" w:hAnsi="宋体" w:cs="宋体"/>
          <w:sz w:val="28"/>
          <w:szCs w:val="28"/>
        </w:rPr>
        <w:t>3</w:t>
      </w:r>
      <w:r>
        <w:rPr>
          <w:rFonts w:hint="eastAsia" w:ascii="宋体" w:hAnsi="宋体" w:cs="宋体"/>
          <w:sz w:val="28"/>
          <w:szCs w:val="28"/>
        </w:rPr>
        <w:fldChar w:fldCharType="end"/>
      </w:r>
      <w:r>
        <w:rPr>
          <w:rFonts w:hint="eastAsia" w:ascii="宋体" w:hAnsi="宋体" w:eastAsia="宋体" w:cs="宋体"/>
          <w:caps w:val="0"/>
          <w:color w:val="auto"/>
          <w:kern w:val="0"/>
          <w:sz w:val="28"/>
          <w:szCs w:val="28"/>
          <w:highlight w:val="none"/>
        </w:rPr>
        <w:fldChar w:fldCharType="end"/>
      </w:r>
    </w:p>
    <w:p>
      <w:pPr>
        <w:pStyle w:val="37"/>
        <w:tabs>
          <w:tab w:val="right" w:leader="dot" w:pos="9411"/>
        </w:tabs>
        <w:spacing w:line="360" w:lineRule="auto"/>
        <w:rPr>
          <w:rFonts w:hint="eastAsia" w:ascii="宋体" w:hAnsi="宋体" w:cs="宋体"/>
          <w:sz w:val="28"/>
          <w:szCs w:val="28"/>
        </w:rPr>
      </w:pPr>
      <w:r>
        <w:rPr>
          <w:rFonts w:hint="eastAsia" w:ascii="宋体" w:hAnsi="宋体" w:eastAsia="宋体" w:cs="宋体"/>
          <w:caps w:val="0"/>
          <w:color w:val="auto"/>
          <w:kern w:val="0"/>
          <w:sz w:val="28"/>
          <w:szCs w:val="28"/>
          <w:highlight w:val="none"/>
        </w:rPr>
        <w:fldChar w:fldCharType="begin"/>
      </w:r>
      <w:r>
        <w:rPr>
          <w:rFonts w:hint="eastAsia" w:ascii="宋体" w:hAnsi="宋体" w:eastAsia="宋体" w:cs="宋体"/>
          <w:caps w:val="0"/>
          <w:kern w:val="0"/>
          <w:sz w:val="28"/>
          <w:szCs w:val="28"/>
          <w:highlight w:val="none"/>
        </w:rPr>
        <w:instrText xml:space="preserve"> HYPERLINK \l _Toc30952 </w:instrText>
      </w:r>
      <w:r>
        <w:rPr>
          <w:rFonts w:hint="eastAsia" w:ascii="宋体" w:hAnsi="宋体" w:eastAsia="宋体" w:cs="宋体"/>
          <w:caps w:val="0"/>
          <w:kern w:val="0"/>
          <w:sz w:val="28"/>
          <w:szCs w:val="28"/>
          <w:highlight w:val="none"/>
        </w:rPr>
        <w:fldChar w:fldCharType="separate"/>
      </w:r>
      <w:r>
        <w:rPr>
          <w:rFonts w:hint="eastAsia" w:ascii="宋体" w:hAnsi="宋体" w:eastAsia="宋体" w:cs="宋体"/>
          <w:kern w:val="0"/>
          <w:sz w:val="28"/>
          <w:szCs w:val="28"/>
        </w:rPr>
        <w:t xml:space="preserve">第二部分 </w:t>
      </w:r>
      <w:r>
        <w:rPr>
          <w:rFonts w:hint="eastAsia" w:ascii="宋体" w:hAnsi="宋体" w:eastAsia="宋体" w:cs="宋体"/>
          <w:kern w:val="0"/>
          <w:sz w:val="28"/>
          <w:szCs w:val="28"/>
          <w:highlight w:val="none"/>
          <w:lang w:eastAsia="zh-CN"/>
        </w:rPr>
        <w:t>采购需求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_Toc30952 \h </w:instrText>
      </w:r>
      <w:r>
        <w:rPr>
          <w:rFonts w:hint="eastAsia" w:ascii="宋体" w:hAnsi="宋体" w:cs="宋体"/>
          <w:sz w:val="28"/>
          <w:szCs w:val="28"/>
        </w:rPr>
        <w:fldChar w:fldCharType="separate"/>
      </w:r>
      <w:r>
        <w:rPr>
          <w:rFonts w:hint="eastAsia" w:ascii="宋体" w:hAnsi="宋体" w:cs="宋体"/>
          <w:sz w:val="28"/>
          <w:szCs w:val="28"/>
        </w:rPr>
        <w:t>6</w:t>
      </w:r>
      <w:r>
        <w:rPr>
          <w:rFonts w:hint="eastAsia" w:ascii="宋体" w:hAnsi="宋体" w:cs="宋体"/>
          <w:sz w:val="28"/>
          <w:szCs w:val="28"/>
        </w:rPr>
        <w:fldChar w:fldCharType="end"/>
      </w:r>
      <w:r>
        <w:rPr>
          <w:rFonts w:hint="eastAsia" w:ascii="宋体" w:hAnsi="宋体" w:eastAsia="宋体" w:cs="宋体"/>
          <w:caps w:val="0"/>
          <w:color w:val="auto"/>
          <w:kern w:val="0"/>
          <w:sz w:val="28"/>
          <w:szCs w:val="28"/>
          <w:highlight w:val="none"/>
        </w:rPr>
        <w:fldChar w:fldCharType="end"/>
      </w:r>
    </w:p>
    <w:p>
      <w:pPr>
        <w:pStyle w:val="37"/>
        <w:tabs>
          <w:tab w:val="right" w:leader="dot" w:pos="9411"/>
        </w:tabs>
        <w:spacing w:line="360" w:lineRule="auto"/>
        <w:rPr>
          <w:rFonts w:hint="eastAsia" w:ascii="宋体" w:hAnsi="宋体" w:cs="宋体"/>
          <w:sz w:val="28"/>
          <w:szCs w:val="28"/>
        </w:rPr>
      </w:pPr>
      <w:r>
        <w:rPr>
          <w:rFonts w:hint="eastAsia" w:ascii="宋体" w:hAnsi="宋体" w:eastAsia="宋体" w:cs="宋体"/>
          <w:caps w:val="0"/>
          <w:color w:val="auto"/>
          <w:kern w:val="0"/>
          <w:sz w:val="28"/>
          <w:szCs w:val="28"/>
          <w:highlight w:val="none"/>
        </w:rPr>
        <w:fldChar w:fldCharType="begin"/>
      </w:r>
      <w:r>
        <w:rPr>
          <w:rFonts w:hint="eastAsia" w:ascii="宋体" w:hAnsi="宋体" w:eastAsia="宋体" w:cs="宋体"/>
          <w:caps w:val="0"/>
          <w:kern w:val="0"/>
          <w:sz w:val="28"/>
          <w:szCs w:val="28"/>
          <w:highlight w:val="none"/>
        </w:rPr>
        <w:instrText xml:space="preserve"> HYPERLINK \l _Toc28969 </w:instrText>
      </w:r>
      <w:r>
        <w:rPr>
          <w:rFonts w:hint="eastAsia" w:ascii="宋体" w:hAnsi="宋体" w:eastAsia="宋体" w:cs="宋体"/>
          <w:caps w:val="0"/>
          <w:kern w:val="0"/>
          <w:sz w:val="28"/>
          <w:szCs w:val="28"/>
          <w:highlight w:val="none"/>
        </w:rPr>
        <w:fldChar w:fldCharType="separate"/>
      </w:r>
      <w:r>
        <w:rPr>
          <w:rFonts w:hint="eastAsia" w:ascii="宋体" w:hAnsi="宋体" w:eastAsia="宋体" w:cs="宋体"/>
          <w:kern w:val="0"/>
          <w:sz w:val="28"/>
          <w:szCs w:val="28"/>
          <w:highlight w:val="none"/>
        </w:rPr>
        <w:t xml:space="preserve">第三部分  </w:t>
      </w:r>
      <w:r>
        <w:rPr>
          <w:rFonts w:hint="eastAsia" w:ascii="宋体" w:hAnsi="宋体" w:eastAsia="宋体" w:cs="宋体"/>
          <w:kern w:val="0"/>
          <w:sz w:val="28"/>
          <w:szCs w:val="28"/>
          <w:highlight w:val="none"/>
          <w:lang w:eastAsia="zh-CN"/>
        </w:rPr>
        <w:t>投标人须知</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_Toc28969 \h </w:instrText>
      </w:r>
      <w:r>
        <w:rPr>
          <w:rFonts w:hint="eastAsia" w:ascii="宋体" w:hAnsi="宋体" w:cs="宋体"/>
          <w:sz w:val="28"/>
          <w:szCs w:val="28"/>
        </w:rPr>
        <w:fldChar w:fldCharType="separate"/>
      </w:r>
      <w:r>
        <w:rPr>
          <w:rFonts w:hint="eastAsia" w:ascii="宋体" w:hAnsi="宋体" w:cs="宋体"/>
          <w:sz w:val="28"/>
          <w:szCs w:val="28"/>
        </w:rPr>
        <w:t>11</w:t>
      </w:r>
      <w:r>
        <w:rPr>
          <w:rFonts w:hint="eastAsia" w:ascii="宋体" w:hAnsi="宋体" w:cs="宋体"/>
          <w:sz w:val="28"/>
          <w:szCs w:val="28"/>
        </w:rPr>
        <w:fldChar w:fldCharType="end"/>
      </w:r>
      <w:r>
        <w:rPr>
          <w:rFonts w:hint="eastAsia" w:ascii="宋体" w:hAnsi="宋体" w:eastAsia="宋体" w:cs="宋体"/>
          <w:caps w:val="0"/>
          <w:color w:val="auto"/>
          <w:kern w:val="0"/>
          <w:sz w:val="28"/>
          <w:szCs w:val="28"/>
          <w:highlight w:val="none"/>
        </w:rPr>
        <w:fldChar w:fldCharType="end"/>
      </w:r>
    </w:p>
    <w:p>
      <w:pPr>
        <w:pStyle w:val="37"/>
        <w:tabs>
          <w:tab w:val="right" w:leader="dot" w:pos="9411"/>
        </w:tabs>
        <w:spacing w:line="360" w:lineRule="auto"/>
        <w:rPr>
          <w:rFonts w:hint="eastAsia" w:ascii="宋体" w:hAnsi="宋体" w:cs="宋体"/>
          <w:sz w:val="28"/>
          <w:szCs w:val="28"/>
        </w:rPr>
      </w:pPr>
      <w:r>
        <w:rPr>
          <w:rFonts w:hint="eastAsia" w:ascii="宋体" w:hAnsi="宋体" w:eastAsia="宋体" w:cs="宋体"/>
          <w:caps w:val="0"/>
          <w:color w:val="auto"/>
          <w:kern w:val="0"/>
          <w:sz w:val="28"/>
          <w:szCs w:val="28"/>
          <w:highlight w:val="none"/>
        </w:rPr>
        <w:fldChar w:fldCharType="begin"/>
      </w:r>
      <w:r>
        <w:rPr>
          <w:rFonts w:hint="eastAsia" w:ascii="宋体" w:hAnsi="宋体" w:eastAsia="宋体" w:cs="宋体"/>
          <w:caps w:val="0"/>
          <w:kern w:val="0"/>
          <w:sz w:val="28"/>
          <w:szCs w:val="28"/>
          <w:highlight w:val="none"/>
        </w:rPr>
        <w:instrText xml:space="preserve"> HYPERLINK \l _Toc28965 </w:instrText>
      </w:r>
      <w:r>
        <w:rPr>
          <w:rFonts w:hint="eastAsia" w:ascii="宋体" w:hAnsi="宋体" w:eastAsia="宋体" w:cs="宋体"/>
          <w:caps w:val="0"/>
          <w:kern w:val="0"/>
          <w:sz w:val="28"/>
          <w:szCs w:val="28"/>
          <w:highlight w:val="none"/>
        </w:rPr>
        <w:fldChar w:fldCharType="separate"/>
      </w:r>
      <w:r>
        <w:rPr>
          <w:rFonts w:hint="eastAsia" w:ascii="宋体" w:hAnsi="宋体" w:eastAsia="宋体" w:cs="宋体"/>
          <w:kern w:val="0"/>
          <w:sz w:val="28"/>
          <w:szCs w:val="28"/>
          <w:highlight w:val="none"/>
        </w:rPr>
        <w:t>第四部分  评审办法及标准</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_Toc28965 \h </w:instrText>
      </w:r>
      <w:r>
        <w:rPr>
          <w:rFonts w:hint="eastAsia" w:ascii="宋体" w:hAnsi="宋体" w:cs="宋体"/>
          <w:sz w:val="28"/>
          <w:szCs w:val="28"/>
        </w:rPr>
        <w:fldChar w:fldCharType="separate"/>
      </w:r>
      <w:r>
        <w:rPr>
          <w:rFonts w:hint="eastAsia" w:ascii="宋体" w:hAnsi="宋体" w:cs="宋体"/>
          <w:sz w:val="28"/>
          <w:szCs w:val="28"/>
        </w:rPr>
        <w:t>37</w:t>
      </w:r>
      <w:r>
        <w:rPr>
          <w:rFonts w:hint="eastAsia" w:ascii="宋体" w:hAnsi="宋体" w:cs="宋体"/>
          <w:sz w:val="28"/>
          <w:szCs w:val="28"/>
        </w:rPr>
        <w:fldChar w:fldCharType="end"/>
      </w:r>
      <w:r>
        <w:rPr>
          <w:rFonts w:hint="eastAsia" w:ascii="宋体" w:hAnsi="宋体" w:eastAsia="宋体" w:cs="宋体"/>
          <w:caps w:val="0"/>
          <w:color w:val="auto"/>
          <w:kern w:val="0"/>
          <w:sz w:val="28"/>
          <w:szCs w:val="28"/>
          <w:highlight w:val="none"/>
        </w:rPr>
        <w:fldChar w:fldCharType="end"/>
      </w:r>
    </w:p>
    <w:p>
      <w:pPr>
        <w:pStyle w:val="37"/>
        <w:tabs>
          <w:tab w:val="right" w:leader="dot" w:pos="9411"/>
        </w:tabs>
        <w:spacing w:line="360" w:lineRule="auto"/>
        <w:rPr>
          <w:rFonts w:hint="eastAsia" w:ascii="宋体" w:hAnsi="宋体" w:cs="宋体"/>
          <w:sz w:val="28"/>
          <w:szCs w:val="28"/>
        </w:rPr>
      </w:pPr>
      <w:r>
        <w:rPr>
          <w:rFonts w:hint="eastAsia" w:ascii="宋体" w:hAnsi="宋体" w:eastAsia="宋体" w:cs="宋体"/>
          <w:caps w:val="0"/>
          <w:color w:val="auto"/>
          <w:kern w:val="0"/>
          <w:sz w:val="28"/>
          <w:szCs w:val="28"/>
          <w:highlight w:val="none"/>
        </w:rPr>
        <w:fldChar w:fldCharType="begin"/>
      </w:r>
      <w:r>
        <w:rPr>
          <w:rFonts w:hint="eastAsia" w:ascii="宋体" w:hAnsi="宋体" w:eastAsia="宋体" w:cs="宋体"/>
          <w:caps w:val="0"/>
          <w:kern w:val="0"/>
          <w:sz w:val="28"/>
          <w:szCs w:val="28"/>
          <w:highlight w:val="none"/>
        </w:rPr>
        <w:instrText xml:space="preserve"> HYPERLINK \l _Toc15395 </w:instrText>
      </w:r>
      <w:r>
        <w:rPr>
          <w:rFonts w:hint="eastAsia" w:ascii="宋体" w:hAnsi="宋体" w:eastAsia="宋体" w:cs="宋体"/>
          <w:caps w:val="0"/>
          <w:kern w:val="0"/>
          <w:sz w:val="28"/>
          <w:szCs w:val="28"/>
          <w:highlight w:val="none"/>
        </w:rPr>
        <w:fldChar w:fldCharType="separate"/>
      </w:r>
      <w:r>
        <w:rPr>
          <w:rFonts w:hint="eastAsia" w:ascii="宋体" w:hAnsi="宋体" w:eastAsia="宋体" w:cs="宋体"/>
          <w:kern w:val="0"/>
          <w:sz w:val="28"/>
          <w:szCs w:val="28"/>
          <w:highlight w:val="none"/>
        </w:rPr>
        <w:t>第五部分  合同书范本</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_Toc15395 \h </w:instrText>
      </w:r>
      <w:r>
        <w:rPr>
          <w:rFonts w:hint="eastAsia" w:ascii="宋体" w:hAnsi="宋体" w:cs="宋体"/>
          <w:sz w:val="28"/>
          <w:szCs w:val="28"/>
        </w:rPr>
        <w:fldChar w:fldCharType="separate"/>
      </w:r>
      <w:r>
        <w:rPr>
          <w:rFonts w:hint="eastAsia" w:ascii="宋体" w:hAnsi="宋体" w:cs="宋体"/>
          <w:sz w:val="28"/>
          <w:szCs w:val="28"/>
        </w:rPr>
        <w:t>47</w:t>
      </w:r>
      <w:r>
        <w:rPr>
          <w:rFonts w:hint="eastAsia" w:ascii="宋体" w:hAnsi="宋体" w:cs="宋体"/>
          <w:sz w:val="28"/>
          <w:szCs w:val="28"/>
        </w:rPr>
        <w:fldChar w:fldCharType="end"/>
      </w:r>
      <w:r>
        <w:rPr>
          <w:rFonts w:hint="eastAsia" w:ascii="宋体" w:hAnsi="宋体" w:eastAsia="宋体" w:cs="宋体"/>
          <w:caps w:val="0"/>
          <w:color w:val="auto"/>
          <w:kern w:val="0"/>
          <w:sz w:val="28"/>
          <w:szCs w:val="28"/>
          <w:highlight w:val="none"/>
        </w:rPr>
        <w:fldChar w:fldCharType="end"/>
      </w:r>
    </w:p>
    <w:p>
      <w:pPr>
        <w:pStyle w:val="37"/>
        <w:tabs>
          <w:tab w:val="right" w:leader="dot" w:pos="9411"/>
        </w:tabs>
        <w:spacing w:line="360" w:lineRule="auto"/>
        <w:rPr>
          <w:rFonts w:hint="eastAsia" w:ascii="宋体" w:hAnsi="宋体" w:cs="宋体"/>
          <w:sz w:val="28"/>
          <w:szCs w:val="28"/>
        </w:rPr>
      </w:pPr>
      <w:r>
        <w:rPr>
          <w:rFonts w:hint="eastAsia" w:ascii="宋体" w:hAnsi="宋体" w:eastAsia="宋体" w:cs="宋体"/>
          <w:caps w:val="0"/>
          <w:color w:val="auto"/>
          <w:kern w:val="0"/>
          <w:sz w:val="28"/>
          <w:szCs w:val="28"/>
          <w:highlight w:val="none"/>
        </w:rPr>
        <w:fldChar w:fldCharType="begin"/>
      </w:r>
      <w:r>
        <w:rPr>
          <w:rFonts w:hint="eastAsia" w:ascii="宋体" w:hAnsi="宋体" w:eastAsia="宋体" w:cs="宋体"/>
          <w:caps w:val="0"/>
          <w:kern w:val="0"/>
          <w:sz w:val="28"/>
          <w:szCs w:val="28"/>
          <w:highlight w:val="none"/>
        </w:rPr>
        <w:instrText xml:space="preserve"> HYPERLINK \l _Toc10950 </w:instrText>
      </w:r>
      <w:r>
        <w:rPr>
          <w:rFonts w:hint="eastAsia" w:ascii="宋体" w:hAnsi="宋体" w:eastAsia="宋体" w:cs="宋体"/>
          <w:caps w:val="0"/>
          <w:kern w:val="0"/>
          <w:sz w:val="28"/>
          <w:szCs w:val="28"/>
          <w:highlight w:val="none"/>
        </w:rPr>
        <w:fldChar w:fldCharType="separate"/>
      </w:r>
      <w:r>
        <w:rPr>
          <w:rFonts w:hint="eastAsia" w:ascii="宋体" w:hAnsi="宋体" w:eastAsia="宋体" w:cs="宋体"/>
          <w:kern w:val="0"/>
          <w:sz w:val="28"/>
          <w:szCs w:val="28"/>
          <w:highlight w:val="none"/>
        </w:rPr>
        <w:t>第六部分  投标文件格式</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_Toc10950 \h </w:instrText>
      </w:r>
      <w:r>
        <w:rPr>
          <w:rFonts w:hint="eastAsia" w:ascii="宋体" w:hAnsi="宋体" w:cs="宋体"/>
          <w:sz w:val="28"/>
          <w:szCs w:val="28"/>
        </w:rPr>
        <w:fldChar w:fldCharType="separate"/>
      </w:r>
      <w:r>
        <w:rPr>
          <w:rFonts w:hint="eastAsia" w:ascii="宋体" w:hAnsi="宋体" w:cs="宋体"/>
          <w:sz w:val="28"/>
          <w:szCs w:val="28"/>
        </w:rPr>
        <w:t>52</w:t>
      </w:r>
      <w:r>
        <w:rPr>
          <w:rFonts w:hint="eastAsia" w:ascii="宋体" w:hAnsi="宋体" w:cs="宋体"/>
          <w:sz w:val="28"/>
          <w:szCs w:val="28"/>
        </w:rPr>
        <w:fldChar w:fldCharType="end"/>
      </w:r>
      <w:r>
        <w:rPr>
          <w:rFonts w:hint="eastAsia" w:ascii="宋体" w:hAnsi="宋体" w:eastAsia="宋体" w:cs="宋体"/>
          <w:caps w:val="0"/>
          <w:color w:val="auto"/>
          <w:kern w:val="0"/>
          <w:sz w:val="28"/>
          <w:szCs w:val="28"/>
          <w:highlight w:val="none"/>
        </w:rPr>
        <w:fldChar w:fldCharType="end"/>
      </w:r>
    </w:p>
    <w:p>
      <w:pPr>
        <w:pStyle w:val="44"/>
        <w:shd w:val="clear" w:color="auto" w:fill="auto"/>
        <w:tabs>
          <w:tab w:val="right" w:leader="dot" w:pos="9179"/>
        </w:tabs>
        <w:spacing w:line="360" w:lineRule="auto"/>
        <w:jc w:val="both"/>
        <w:rPr>
          <w:rFonts w:hint="eastAsia" w:ascii="宋体" w:hAnsi="宋体" w:eastAsia="宋体" w:cs="宋体"/>
          <w:smallCaps w:val="0"/>
          <w:color w:val="auto"/>
          <w:kern w:val="0"/>
          <w:sz w:val="24"/>
          <w:szCs w:val="24"/>
          <w:highlight w:val="none"/>
        </w:rPr>
      </w:pPr>
      <w:r>
        <w:rPr>
          <w:rFonts w:hint="eastAsia" w:ascii="宋体" w:hAnsi="宋体" w:eastAsia="宋体" w:cs="宋体"/>
          <w:caps w:val="0"/>
          <w:color w:val="auto"/>
          <w:kern w:val="0"/>
          <w:sz w:val="28"/>
          <w:szCs w:val="28"/>
          <w:highlight w:val="none"/>
        </w:rPr>
        <w:fldChar w:fldCharType="end"/>
      </w:r>
    </w:p>
    <w:p>
      <w:pPr>
        <w:pStyle w:val="44"/>
        <w:shd w:val="clear" w:color="auto" w:fill="auto"/>
        <w:tabs>
          <w:tab w:val="right" w:leader="dot" w:pos="9179"/>
        </w:tabs>
        <w:spacing w:line="360" w:lineRule="auto"/>
        <w:jc w:val="center"/>
        <w:outlineLvl w:val="0"/>
        <w:rPr>
          <w:rFonts w:hint="eastAsia" w:ascii="宋体" w:hAnsi="宋体" w:eastAsia="宋体" w:cs="宋体"/>
          <w:b/>
          <w:smallCaps w:val="0"/>
          <w:color w:val="auto"/>
          <w:kern w:val="0"/>
          <w:sz w:val="36"/>
          <w:szCs w:val="36"/>
          <w:highlight w:val="none"/>
          <w:lang w:eastAsia="zh-CN"/>
        </w:rPr>
      </w:pPr>
      <w:r>
        <w:rPr>
          <w:rFonts w:hint="eastAsia" w:ascii="宋体" w:hAnsi="宋体" w:eastAsia="宋体" w:cs="宋体"/>
          <w:smallCaps w:val="0"/>
          <w:color w:val="auto"/>
          <w:kern w:val="0"/>
          <w:sz w:val="24"/>
          <w:highlight w:val="none"/>
        </w:rPr>
        <w:br w:type="page"/>
      </w:r>
      <w:bookmarkStart w:id="0" w:name="_Toc16066"/>
      <w:bookmarkStart w:id="1" w:name="_Toc12081"/>
      <w:bookmarkStart w:id="2" w:name="_Toc4751"/>
      <w:r>
        <w:rPr>
          <w:rFonts w:hint="eastAsia" w:ascii="宋体" w:hAnsi="宋体" w:eastAsia="宋体" w:cs="宋体"/>
          <w:b/>
          <w:smallCaps w:val="0"/>
          <w:color w:val="auto"/>
          <w:kern w:val="0"/>
          <w:sz w:val="36"/>
          <w:szCs w:val="36"/>
          <w:highlight w:val="none"/>
        </w:rPr>
        <w:t xml:space="preserve">第一部分  </w:t>
      </w:r>
      <w:bookmarkEnd w:id="0"/>
      <w:r>
        <w:rPr>
          <w:rFonts w:hint="eastAsia" w:ascii="宋体" w:hAnsi="宋体" w:cs="宋体"/>
          <w:b/>
          <w:smallCaps w:val="0"/>
          <w:color w:val="auto"/>
          <w:kern w:val="0"/>
          <w:sz w:val="36"/>
          <w:szCs w:val="36"/>
          <w:highlight w:val="none"/>
          <w:lang w:eastAsia="zh-CN"/>
        </w:rPr>
        <w:t>投标邀请书</w:t>
      </w:r>
      <w:bookmarkEnd w:id="1"/>
      <w:bookmarkEnd w:id="2"/>
    </w:p>
    <w:p>
      <w:pPr>
        <w:pStyle w:val="260"/>
        <w:shd w:val="clear" w:color="auto" w:fill="auto"/>
        <w:spacing w:line="360" w:lineRule="auto"/>
        <w:ind w:firstLine="42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lang w:eastAsia="zh-CN"/>
        </w:rPr>
        <w:t>广东杰信项目管理有限公司</w:t>
      </w:r>
      <w:r>
        <w:rPr>
          <w:rFonts w:hint="eastAsia" w:ascii="宋体" w:hAnsi="宋体" w:eastAsia="宋体" w:cs="宋体"/>
          <w:bCs/>
          <w:color w:val="auto"/>
          <w:sz w:val="24"/>
          <w:szCs w:val="24"/>
          <w:highlight w:val="none"/>
        </w:rPr>
        <w:t>（以下简称“</w:t>
      </w:r>
      <w:r>
        <w:rPr>
          <w:rFonts w:hint="eastAsia" w:ascii="宋体" w:hAnsi="宋体" w:eastAsia="宋体" w:cs="宋体"/>
          <w:bCs/>
          <w:color w:val="auto"/>
          <w:sz w:val="24"/>
          <w:szCs w:val="24"/>
          <w:highlight w:val="none"/>
          <w:lang w:eastAsia="zh-CN"/>
        </w:rPr>
        <w:t>采购代理机构</w:t>
      </w:r>
      <w:r>
        <w:rPr>
          <w:rFonts w:hint="eastAsia" w:ascii="宋体" w:hAnsi="宋体" w:eastAsia="宋体" w:cs="宋体"/>
          <w:bCs/>
          <w:color w:val="auto"/>
          <w:sz w:val="24"/>
          <w:szCs w:val="24"/>
          <w:highlight w:val="none"/>
        </w:rPr>
        <w:t>”）受</w:t>
      </w:r>
      <w:r>
        <w:rPr>
          <w:rFonts w:hint="eastAsia" w:hAnsi="宋体" w:cs="宋体"/>
          <w:bCs/>
          <w:color w:val="auto"/>
          <w:sz w:val="24"/>
          <w:szCs w:val="24"/>
          <w:highlight w:val="none"/>
          <w:lang w:eastAsia="zh-CN"/>
        </w:rPr>
        <w:t>佛山市三水区国睿再生资源回收有限公司</w:t>
      </w: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rPr>
        <w:t>以下简称“采购人”）的委托，</w:t>
      </w:r>
      <w:r>
        <w:rPr>
          <w:rFonts w:hint="eastAsia" w:ascii="宋体" w:hAnsi="宋体" w:eastAsia="宋体" w:cs="宋体"/>
          <w:bCs/>
          <w:color w:val="auto"/>
          <w:sz w:val="24"/>
          <w:szCs w:val="24"/>
          <w:highlight w:val="none"/>
          <w:lang w:eastAsia="zh-CN"/>
        </w:rPr>
        <w:t>采用</w:t>
      </w:r>
      <w:r>
        <w:rPr>
          <w:rFonts w:hint="eastAsia" w:hAnsi="宋体" w:cs="宋体"/>
          <w:bCs/>
          <w:color w:val="auto"/>
          <w:sz w:val="24"/>
          <w:szCs w:val="24"/>
          <w:highlight w:val="none"/>
          <w:lang w:val="en-US" w:eastAsia="zh-CN"/>
        </w:rPr>
        <w:t>邀请</w:t>
      </w:r>
      <w:r>
        <w:rPr>
          <w:rFonts w:hint="eastAsia" w:ascii="宋体" w:hAnsi="宋体" w:eastAsia="宋体" w:cs="宋体"/>
          <w:bCs/>
          <w:color w:val="auto"/>
          <w:sz w:val="24"/>
          <w:szCs w:val="24"/>
          <w:highlight w:val="none"/>
          <w:lang w:eastAsia="zh-CN"/>
        </w:rPr>
        <w:t>招标方式组织</w:t>
      </w:r>
      <w:r>
        <w:rPr>
          <w:rFonts w:hint="eastAsia" w:hAnsi="宋体" w:cs="宋体"/>
          <w:bCs/>
          <w:color w:val="auto"/>
          <w:sz w:val="24"/>
          <w:szCs w:val="24"/>
          <w:highlight w:val="none"/>
          <w:lang w:eastAsia="zh-CN"/>
        </w:rPr>
        <w:t>佛山市三水区国睿再生资源回收有限公司国睿冷库基础设施配套项目（第二次）</w:t>
      </w:r>
      <w:r>
        <w:rPr>
          <w:rFonts w:hint="eastAsia" w:ascii="宋体" w:hAnsi="宋体" w:eastAsia="宋体" w:cs="宋体"/>
          <w:bCs/>
          <w:color w:val="auto"/>
          <w:sz w:val="24"/>
          <w:szCs w:val="24"/>
          <w:highlight w:val="none"/>
        </w:rPr>
        <w:t>进行</w:t>
      </w:r>
      <w:r>
        <w:rPr>
          <w:rFonts w:hint="eastAsia" w:ascii="宋体" w:hAnsi="宋体" w:eastAsia="宋体" w:cs="宋体"/>
          <w:bCs/>
          <w:color w:val="auto"/>
          <w:sz w:val="24"/>
          <w:szCs w:val="24"/>
          <w:highlight w:val="none"/>
          <w:lang w:eastAsia="zh-CN"/>
        </w:rPr>
        <w:t>采购</w:t>
      </w:r>
      <w:r>
        <w:rPr>
          <w:rFonts w:hint="eastAsia" w:ascii="宋体" w:hAnsi="宋体" w:eastAsia="宋体" w:cs="宋体"/>
          <w:bCs/>
          <w:color w:val="auto"/>
          <w:sz w:val="24"/>
          <w:szCs w:val="24"/>
          <w:highlight w:val="none"/>
        </w:rPr>
        <w:t>，</w:t>
      </w:r>
      <w:r>
        <w:rPr>
          <w:rFonts w:hint="eastAsia" w:ascii="宋体" w:hAnsi="宋体" w:cs="仿宋_GB2312"/>
          <w:color w:val="auto"/>
          <w:sz w:val="24"/>
          <w:szCs w:val="24"/>
          <w:highlight w:val="none"/>
        </w:rPr>
        <w:t>现邀请单位参加投标</w:t>
      </w:r>
      <w:r>
        <w:rPr>
          <w:rFonts w:hint="eastAsia" w:ascii="宋体" w:hAnsi="宋体" w:eastAsia="宋体" w:cs="宋体"/>
          <w:bCs/>
          <w:color w:val="auto"/>
          <w:sz w:val="24"/>
          <w:szCs w:val="24"/>
          <w:highlight w:val="none"/>
        </w:rPr>
        <w:t>。</w:t>
      </w:r>
    </w:p>
    <w:p>
      <w:pPr>
        <w:numPr>
          <w:ilvl w:val="0"/>
          <w:numId w:val="4"/>
        </w:numPr>
        <w:shd w:val="clear" w:color="auto" w:fill="auto"/>
        <w:spacing w:line="360" w:lineRule="auto"/>
        <w:ind w:left="0" w:leftChars="0" w:firstLine="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zh-CN" w:eastAsia="zh-CN"/>
        </w:rPr>
        <w:t>项目基本情况</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beforeLines="0" w:afterLines="0" w:line="360" w:lineRule="auto"/>
        <w:ind w:left="42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项目编号</w:t>
      </w:r>
      <w:r>
        <w:rPr>
          <w:rFonts w:hint="eastAsia" w:ascii="宋体" w:hAnsi="宋体" w:cs="宋体"/>
          <w:color w:val="auto"/>
          <w:sz w:val="24"/>
          <w:szCs w:val="24"/>
          <w:highlight w:val="none"/>
          <w:lang w:val="en-US" w:eastAsia="zh-CN"/>
        </w:rPr>
        <w:t>：JXGC-2023（SS）1201</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beforeLines="0" w:afterLines="0" w:line="360" w:lineRule="auto"/>
        <w:ind w:left="42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项目名称：</w:t>
      </w:r>
      <w:r>
        <w:rPr>
          <w:rFonts w:hint="eastAsia" w:ascii="宋体" w:hAnsi="宋体" w:cs="宋体"/>
          <w:color w:val="auto"/>
          <w:sz w:val="24"/>
          <w:szCs w:val="24"/>
          <w:highlight w:val="none"/>
          <w:lang w:val="en-US" w:eastAsia="zh-CN"/>
        </w:rPr>
        <w:t>佛山市三水区国睿再生资源回收有限公司国睿冷库基础设施配套项目（第二次）</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beforeLines="0" w:afterLines="0" w:line="360" w:lineRule="auto"/>
        <w:ind w:left="42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预算金额：</w:t>
      </w:r>
      <w:r>
        <w:rPr>
          <w:rFonts w:hint="eastAsia" w:ascii="宋体" w:hAnsi="宋体" w:cs="宋体"/>
          <w:color w:val="auto"/>
          <w:sz w:val="24"/>
          <w:highlight w:val="none"/>
          <w:lang w:val="en-US" w:eastAsia="zh-CN"/>
        </w:rPr>
        <w:t>1,900,000.00</w:t>
      </w:r>
      <w:r>
        <w:rPr>
          <w:rFonts w:hint="eastAsia" w:ascii="宋体" w:hAnsi="宋体" w:eastAsia="宋体" w:cs="宋体"/>
          <w:color w:val="auto"/>
          <w:sz w:val="24"/>
          <w:szCs w:val="24"/>
          <w:highlight w:val="none"/>
          <w:lang w:val="en-US" w:eastAsia="zh-CN"/>
        </w:rPr>
        <w:t>元</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beforeLines="0" w:afterLines="0" w:line="360" w:lineRule="auto"/>
        <w:ind w:left="42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采购需求：（包括但不限于标的的名称、数量、简要技术需求或服务要求等）</w:t>
      </w:r>
    </w:p>
    <w:p>
      <w:pPr>
        <w:pStyle w:val="14"/>
        <w:spacing w:line="360" w:lineRule="auto"/>
        <w:rPr>
          <w:rFonts w:hint="eastAsia" w:ascii="宋体" w:hAnsi="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采购包1（</w:t>
      </w:r>
      <w:r>
        <w:rPr>
          <w:rFonts w:hint="eastAsia" w:ascii="宋体" w:hAnsi="宋体" w:cs="宋体"/>
          <w:color w:val="auto"/>
          <w:kern w:val="2"/>
          <w:sz w:val="24"/>
          <w:szCs w:val="24"/>
          <w:highlight w:val="none"/>
          <w:lang w:eastAsia="zh-CN"/>
        </w:rPr>
        <w:t>佛山市三水区国睿再生资源回收有限公司国睿公司冷库托盘采购</w:t>
      </w:r>
      <w:r>
        <w:rPr>
          <w:rFonts w:hint="eastAsia" w:ascii="宋体" w:hAnsi="宋体" w:cs="宋体"/>
          <w:color w:val="auto"/>
          <w:kern w:val="2"/>
          <w:sz w:val="24"/>
          <w:szCs w:val="24"/>
          <w:highlight w:val="none"/>
          <w:lang w:val="en-US" w:eastAsia="zh-CN"/>
        </w:rPr>
        <w:t>）：</w:t>
      </w:r>
    </w:p>
    <w:p>
      <w:pPr>
        <w:pStyle w:val="14"/>
        <w:spacing w:line="360" w:lineRule="auto"/>
        <w:rPr>
          <w:rFonts w:hint="eastAsia" w:ascii="宋体" w:hAnsi="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采购包预算金额：</w:t>
      </w:r>
      <w:r>
        <w:rPr>
          <w:rFonts w:hint="eastAsia" w:ascii="宋体" w:hAnsi="宋体" w:cs="宋体"/>
          <w:color w:val="auto"/>
          <w:kern w:val="2"/>
          <w:sz w:val="24"/>
          <w:szCs w:val="24"/>
          <w:highlight w:val="none"/>
          <w:lang w:eastAsia="zh-CN"/>
        </w:rPr>
        <w:t>1</w:t>
      </w:r>
      <w:r>
        <w:rPr>
          <w:rFonts w:hint="eastAsia" w:ascii="宋体" w:hAnsi="宋体" w:cs="宋体"/>
          <w:color w:val="auto"/>
          <w:kern w:val="2"/>
          <w:sz w:val="24"/>
          <w:szCs w:val="24"/>
          <w:highlight w:val="none"/>
          <w:lang w:val="en-US" w:eastAsia="zh-CN"/>
        </w:rPr>
        <w:t>,900,000.00</w:t>
      </w:r>
      <w:r>
        <w:rPr>
          <w:rFonts w:hint="eastAsia" w:ascii="宋体" w:hAnsi="宋体" w:cs="宋体"/>
          <w:color w:val="auto"/>
          <w:kern w:val="2"/>
          <w:sz w:val="24"/>
          <w:szCs w:val="24"/>
          <w:highlight w:val="none"/>
          <w:lang w:eastAsia="zh-CN"/>
        </w:rPr>
        <w:t>元</w:t>
      </w:r>
    </w:p>
    <w:tbl>
      <w:tblPr>
        <w:tblStyle w:val="54"/>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74"/>
        <w:gridCol w:w="2641"/>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988" w:type="dxa"/>
            <w:noWrap w:val="0"/>
            <w:vAlign w:val="center"/>
          </w:tcPr>
          <w:p>
            <w:pPr>
              <w:spacing w:line="360" w:lineRule="auto"/>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采购内容</w:t>
            </w:r>
          </w:p>
        </w:tc>
        <w:tc>
          <w:tcPr>
            <w:tcW w:w="1574" w:type="dxa"/>
            <w:noWrap w:val="0"/>
            <w:vAlign w:val="center"/>
          </w:tcPr>
          <w:p>
            <w:pPr>
              <w:spacing w:line="360" w:lineRule="auto"/>
              <w:jc w:val="center"/>
              <w:rPr>
                <w:rFonts w:hint="eastAsia" w:ascii="宋体" w:hAnsi="宋体" w:eastAsia="宋体" w:cs="宋体"/>
                <w:b/>
                <w:bCs/>
                <w:color w:val="auto"/>
                <w:sz w:val="24"/>
                <w:szCs w:val="32"/>
                <w:highlight w:val="none"/>
                <w:lang w:eastAsia="zh-CN"/>
              </w:rPr>
            </w:pPr>
            <w:r>
              <w:rPr>
                <w:rFonts w:hint="eastAsia" w:ascii="宋体" w:hAnsi="宋体" w:cs="宋体"/>
                <w:b/>
                <w:bCs/>
                <w:color w:val="auto"/>
                <w:sz w:val="24"/>
                <w:szCs w:val="32"/>
                <w:highlight w:val="none"/>
                <w:lang w:eastAsia="zh-CN"/>
              </w:rPr>
              <w:t>采购数量</w:t>
            </w:r>
          </w:p>
        </w:tc>
        <w:tc>
          <w:tcPr>
            <w:tcW w:w="2641" w:type="dxa"/>
            <w:noWrap w:val="0"/>
            <w:vAlign w:val="center"/>
          </w:tcPr>
          <w:p>
            <w:pPr>
              <w:spacing w:line="360" w:lineRule="auto"/>
              <w:jc w:val="center"/>
              <w:rPr>
                <w:rFonts w:hint="eastAsia" w:ascii="宋体" w:hAnsi="宋体" w:eastAsia="宋体" w:cs="宋体"/>
                <w:b/>
                <w:bCs/>
                <w:color w:val="auto"/>
                <w:sz w:val="24"/>
                <w:szCs w:val="32"/>
                <w:highlight w:val="none"/>
                <w:lang w:eastAsia="zh-CN"/>
              </w:rPr>
            </w:pPr>
            <w:r>
              <w:rPr>
                <w:rFonts w:hint="eastAsia" w:ascii="宋体" w:hAnsi="宋体" w:cs="宋体"/>
                <w:b/>
                <w:bCs/>
                <w:color w:val="auto"/>
                <w:sz w:val="24"/>
                <w:szCs w:val="32"/>
                <w:highlight w:val="none"/>
                <w:lang w:eastAsia="zh-CN"/>
              </w:rPr>
              <w:t>交货期</w:t>
            </w:r>
          </w:p>
        </w:tc>
        <w:tc>
          <w:tcPr>
            <w:tcW w:w="1879" w:type="dxa"/>
            <w:noWrap w:val="0"/>
            <w:vAlign w:val="center"/>
          </w:tcPr>
          <w:p>
            <w:pPr>
              <w:spacing w:line="360" w:lineRule="auto"/>
              <w:jc w:val="center"/>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lang w:val="en-US" w:eastAsia="zh-CN"/>
              </w:rPr>
              <w:t>最高限价</w:t>
            </w:r>
          </w:p>
          <w:p>
            <w:pPr>
              <w:spacing w:line="360" w:lineRule="auto"/>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（人民币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988" w:type="dxa"/>
            <w:noWrap w:val="0"/>
            <w:vAlign w:val="center"/>
          </w:tcPr>
          <w:p>
            <w:pPr>
              <w:spacing w:line="360" w:lineRule="auto"/>
              <w:jc w:val="center"/>
              <w:rPr>
                <w:rFonts w:hint="eastAsia" w:ascii="宋体" w:hAnsi="宋体" w:eastAsia="宋体" w:cs="宋体"/>
                <w:color w:val="auto"/>
                <w:sz w:val="24"/>
                <w:szCs w:val="32"/>
                <w:highlight w:val="none"/>
                <w:lang w:eastAsia="zh-CN"/>
              </w:rPr>
            </w:pPr>
            <w:r>
              <w:rPr>
                <w:rFonts w:hint="eastAsia" w:ascii="宋体" w:hAnsi="宋体" w:cs="宋体"/>
                <w:color w:val="auto"/>
                <w:sz w:val="24"/>
                <w:szCs w:val="32"/>
                <w:highlight w:val="none"/>
                <w:lang w:eastAsia="zh-CN"/>
              </w:rPr>
              <w:t>佛山市三水区国睿再生资源回收有限公司国睿公司冷库托盘采购</w:t>
            </w:r>
          </w:p>
        </w:tc>
        <w:tc>
          <w:tcPr>
            <w:tcW w:w="1574" w:type="dxa"/>
            <w:noWrap w:val="0"/>
            <w:vAlign w:val="center"/>
          </w:tcPr>
          <w:p>
            <w:pPr>
              <w:spacing w:line="360" w:lineRule="auto"/>
              <w:jc w:val="center"/>
              <w:rPr>
                <w:rFonts w:hint="default" w:ascii="宋体" w:hAnsi="宋体" w:cs="宋体"/>
                <w:color w:val="auto"/>
                <w:sz w:val="24"/>
                <w:szCs w:val="32"/>
                <w:highlight w:val="none"/>
                <w:lang w:val="en-US" w:eastAsia="zh-CN"/>
              </w:rPr>
            </w:pPr>
            <w:r>
              <w:rPr>
                <w:rFonts w:hint="eastAsia" w:ascii="宋体" w:hAnsi="宋体" w:cs="宋体"/>
                <w:color w:val="auto"/>
                <w:sz w:val="24"/>
                <w:szCs w:val="32"/>
                <w:highlight w:val="none"/>
                <w:lang w:val="en-US" w:eastAsia="zh-CN"/>
              </w:rPr>
              <w:t>10000</w:t>
            </w:r>
            <w:r>
              <w:rPr>
                <w:rFonts w:hint="eastAsia" w:ascii="宋体" w:hAnsi="宋体" w:cs="宋体"/>
                <w:b w:val="0"/>
                <w:bCs w:val="0"/>
                <w:color w:val="auto"/>
                <w:sz w:val="24"/>
                <w:szCs w:val="32"/>
                <w:highlight w:val="none"/>
                <w:lang w:eastAsia="zh-CN"/>
              </w:rPr>
              <w:t>（件）</w:t>
            </w:r>
          </w:p>
        </w:tc>
        <w:tc>
          <w:tcPr>
            <w:tcW w:w="2641" w:type="dxa"/>
            <w:noWrap w:val="0"/>
            <w:vAlign w:val="center"/>
          </w:tcPr>
          <w:p>
            <w:pPr>
              <w:spacing w:line="360" w:lineRule="auto"/>
              <w:rPr>
                <w:rFonts w:hint="eastAsia" w:ascii="宋体" w:hAnsi="宋体" w:eastAsia="宋体" w:cs="宋体"/>
                <w:color w:val="auto"/>
                <w:sz w:val="24"/>
                <w:szCs w:val="32"/>
                <w:highlight w:val="none"/>
              </w:rPr>
            </w:pPr>
            <w:r>
              <w:rPr>
                <w:rFonts w:hint="eastAsia" w:ascii="宋体" w:hAnsi="宋体" w:cs="宋体"/>
                <w:color w:val="auto"/>
                <w:spacing w:val="-2"/>
                <w:sz w:val="24"/>
                <w:szCs w:val="24"/>
                <w:highlight w:val="none"/>
                <w:lang w:eastAsia="zh-CN"/>
              </w:rPr>
              <w:t>自合同签订之日起25天交付</w:t>
            </w:r>
            <w:r>
              <w:rPr>
                <w:rFonts w:hint="eastAsia" w:ascii="宋体" w:hAnsi="宋体" w:eastAsia="宋体" w:cs="宋体"/>
                <w:color w:val="auto"/>
                <w:spacing w:val="-2"/>
                <w:sz w:val="24"/>
                <w:szCs w:val="24"/>
                <w:highlight w:val="none"/>
              </w:rPr>
              <w:t>。</w:t>
            </w:r>
          </w:p>
        </w:tc>
        <w:tc>
          <w:tcPr>
            <w:tcW w:w="1879" w:type="dxa"/>
            <w:noWrap w:val="0"/>
            <w:vAlign w:val="center"/>
          </w:tcPr>
          <w:p>
            <w:pPr>
              <w:spacing w:line="360" w:lineRule="auto"/>
              <w:jc w:val="center"/>
              <w:rPr>
                <w:rFonts w:hint="eastAsia" w:ascii="宋体" w:hAnsi="宋体" w:eastAsia="宋体" w:cs="宋体"/>
                <w:color w:val="auto"/>
                <w:sz w:val="24"/>
                <w:szCs w:val="32"/>
                <w:highlight w:val="none"/>
                <w:lang w:eastAsia="zh-CN"/>
              </w:rPr>
            </w:pPr>
            <w:r>
              <w:rPr>
                <w:rFonts w:hint="eastAsia" w:ascii="宋体" w:hAnsi="宋体" w:cs="宋体"/>
                <w:color w:val="auto"/>
                <w:kern w:val="2"/>
                <w:sz w:val="24"/>
                <w:szCs w:val="24"/>
                <w:highlight w:val="none"/>
                <w:lang w:eastAsia="zh-CN"/>
              </w:rPr>
              <w:t>1</w:t>
            </w:r>
            <w:r>
              <w:rPr>
                <w:rFonts w:hint="eastAsia" w:ascii="宋体" w:hAnsi="宋体" w:cs="宋体"/>
                <w:color w:val="auto"/>
                <w:kern w:val="2"/>
                <w:sz w:val="24"/>
                <w:szCs w:val="24"/>
                <w:highlight w:val="none"/>
                <w:lang w:val="en-US" w:eastAsia="zh-CN"/>
              </w:rPr>
              <w:t>,900,000.00</w:t>
            </w:r>
          </w:p>
        </w:tc>
      </w:tr>
    </w:tbl>
    <w:p>
      <w:pPr>
        <w:pStyle w:val="14"/>
        <w:ind w:firstLine="0" w:firstLineChars="0"/>
        <w:rPr>
          <w:rFonts w:hint="eastAsia"/>
          <w:lang w:val="en-US" w:eastAsia="zh-CN"/>
        </w:rPr>
      </w:pP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beforeLines="0" w:afterLines="0" w:line="360" w:lineRule="auto"/>
        <w:ind w:left="420" w:leftChars="0" w:right="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简要技术需求或服务要求：详见用户需求。</w:t>
      </w:r>
    </w:p>
    <w:p>
      <w:pPr>
        <w:numPr>
          <w:ilvl w:val="0"/>
          <w:numId w:val="4"/>
        </w:numPr>
        <w:shd w:val="clear" w:color="auto" w:fill="auto"/>
        <w:spacing w:line="360" w:lineRule="auto"/>
        <w:ind w:left="0" w:leftChars="0" w:firstLine="420" w:firstLineChars="0"/>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申请人的资格要求：</w:t>
      </w:r>
    </w:p>
    <w:p>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before="0" w:beforeLines="0" w:afterLines="0" w:line="360" w:lineRule="auto"/>
        <w:ind w:left="845" w:leftChars="0" w:right="0" w:hanging="425"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color="auto" w:fill="FFFFFF"/>
        </w:rPr>
        <w:t>投标</w:t>
      </w:r>
      <w:r>
        <w:rPr>
          <w:rFonts w:hint="eastAsia" w:ascii="宋体" w:hAnsi="宋体" w:cs="宋体"/>
          <w:i w:val="0"/>
          <w:iCs w:val="0"/>
          <w:caps w:val="0"/>
          <w:color w:val="auto"/>
          <w:spacing w:val="0"/>
          <w:sz w:val="24"/>
          <w:szCs w:val="24"/>
          <w:highlight w:val="none"/>
          <w:shd w:val="clear" w:color="auto" w:fill="FFFFFF"/>
          <w:lang w:eastAsia="zh-CN"/>
        </w:rPr>
        <w:t>人</w:t>
      </w:r>
      <w:r>
        <w:rPr>
          <w:rFonts w:hint="eastAsia" w:ascii="宋体" w:hAnsi="宋体" w:eastAsia="宋体" w:cs="宋体"/>
          <w:i w:val="0"/>
          <w:iCs w:val="0"/>
          <w:caps w:val="0"/>
          <w:color w:val="auto"/>
          <w:spacing w:val="0"/>
          <w:sz w:val="24"/>
          <w:szCs w:val="24"/>
          <w:highlight w:val="none"/>
          <w:shd w:val="clear" w:color="auto" w:fill="FFFFFF"/>
        </w:rPr>
        <w:t>应具备</w:t>
      </w:r>
      <w:r>
        <w:rPr>
          <w:rFonts w:hint="eastAsia" w:ascii="宋体" w:hAnsi="宋体" w:cs="宋体"/>
          <w:i w:val="0"/>
          <w:iCs w:val="0"/>
          <w:caps w:val="0"/>
          <w:color w:val="auto"/>
          <w:spacing w:val="0"/>
          <w:sz w:val="24"/>
          <w:szCs w:val="24"/>
          <w:highlight w:val="none"/>
          <w:shd w:val="clear" w:color="auto" w:fill="FFFFFF"/>
          <w:lang w:eastAsia="zh-CN"/>
        </w:rPr>
        <w:t>以下</w:t>
      </w:r>
      <w:r>
        <w:rPr>
          <w:rFonts w:hint="eastAsia" w:ascii="宋体" w:hAnsi="宋体" w:eastAsia="宋体" w:cs="宋体"/>
          <w:i w:val="0"/>
          <w:iCs w:val="0"/>
          <w:caps w:val="0"/>
          <w:color w:val="auto"/>
          <w:spacing w:val="0"/>
          <w:sz w:val="24"/>
          <w:szCs w:val="24"/>
          <w:highlight w:val="none"/>
          <w:shd w:val="clear" w:color="auto" w:fill="FFFFFF"/>
        </w:rPr>
        <w:t>条件，提供下列材料：</w:t>
      </w:r>
    </w:p>
    <w:p>
      <w:pPr>
        <w:keepNext w:val="0"/>
        <w:keepLines w:val="0"/>
        <w:pageBreakBefore w:val="0"/>
        <w:widowControl w:val="0"/>
        <w:numPr>
          <w:ilvl w:val="0"/>
          <w:numId w:val="7"/>
        </w:numPr>
        <w:shd w:val="clear" w:color="auto" w:fill="auto"/>
        <w:kinsoku/>
        <w:wordWrap/>
        <w:overflowPunct/>
        <w:topLinePunct w:val="0"/>
        <w:autoSpaceDE/>
        <w:autoSpaceDN/>
        <w:bidi w:val="0"/>
        <w:adjustRightInd/>
        <w:snapToGrid/>
        <w:spacing w:before="0" w:beforeLines="0" w:afterLines="0" w:line="360" w:lineRule="auto"/>
        <w:ind w:left="845" w:leftChars="0" w:right="0" w:rightChars="0" w:hanging="425"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shd w:val="clear" w:color="auto" w:fill="FFFFFF"/>
        </w:rPr>
        <w:t>具有独立承担民事责任的能力（在中华人民共和国境内注册的单位提供营业执照或事业法人登记证或社会团体法人登记证书</w:t>
      </w:r>
      <w:r>
        <w:rPr>
          <w:rFonts w:hint="eastAsia" w:ascii="宋体" w:hAnsi="宋体" w:cs="宋体"/>
          <w:color w:val="auto"/>
          <w:sz w:val="24"/>
          <w:highlight w:val="none"/>
          <w:shd w:val="clear" w:color="auto" w:fill="FFFFFF"/>
          <w:lang w:eastAsia="zh-CN"/>
        </w:rPr>
        <w:t>）。</w:t>
      </w:r>
    </w:p>
    <w:p>
      <w:pPr>
        <w:numPr>
          <w:ilvl w:val="0"/>
          <w:numId w:val="7"/>
        </w:numPr>
        <w:shd w:val="clear" w:color="auto" w:fill="auto"/>
        <w:spacing w:beforeLines="0" w:afterLines="0" w:line="360" w:lineRule="auto"/>
        <w:ind w:left="845" w:leftChars="0" w:hanging="425" w:firstLineChars="0"/>
        <w:jc w:val="left"/>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highlight w:val="none"/>
          <w:shd w:val="clear" w:color="auto" w:fill="FFFFFF"/>
          <w:lang w:eastAsia="zh-CN"/>
        </w:rPr>
        <w:t>具有良好的商业信誉和健全的财务会计制度（提供2022年度或2023年度的财务状况报告，如为2024年新成立的公司，应提供成立至投标文件递交截止时间止任意一个月的公司财务状况报告，或提供银行出具的资信证明）</w:t>
      </w:r>
      <w:r>
        <w:rPr>
          <w:rFonts w:hint="eastAsia" w:ascii="宋体" w:hAnsi="宋体" w:eastAsia="宋体" w:cs="宋体"/>
          <w:b w:val="0"/>
          <w:bCs w:val="0"/>
          <w:color w:val="auto"/>
          <w:sz w:val="24"/>
          <w:highlight w:val="none"/>
          <w:shd w:val="clear" w:color="auto" w:fill="FFFFFF"/>
          <w:lang w:eastAsia="zh-CN"/>
        </w:rPr>
        <w:t>。</w:t>
      </w:r>
    </w:p>
    <w:p>
      <w:pPr>
        <w:keepNext w:val="0"/>
        <w:keepLines w:val="0"/>
        <w:pageBreakBefore w:val="0"/>
        <w:widowControl w:val="0"/>
        <w:numPr>
          <w:ilvl w:val="0"/>
          <w:numId w:val="7"/>
        </w:numPr>
        <w:shd w:val="clear" w:color="auto" w:fill="auto"/>
        <w:kinsoku/>
        <w:wordWrap/>
        <w:overflowPunct/>
        <w:topLinePunct w:val="0"/>
        <w:autoSpaceDE/>
        <w:autoSpaceDN/>
        <w:bidi w:val="0"/>
        <w:adjustRightInd/>
        <w:snapToGrid/>
        <w:spacing w:before="0" w:beforeLines="0" w:afterLines="0" w:line="360" w:lineRule="auto"/>
        <w:ind w:left="845" w:leftChars="0" w:right="0" w:rightChars="0" w:hanging="425" w:firstLineChars="0"/>
        <w:jc w:val="left"/>
        <w:textAlignment w:val="auto"/>
        <w:rPr>
          <w:rFonts w:hint="eastAsia" w:ascii="宋体" w:hAnsi="宋体" w:eastAsia="宋体" w:cs="宋体"/>
          <w:i w:val="0"/>
          <w:iCs w:val="0"/>
          <w:caps w:val="0"/>
          <w:color w:val="auto"/>
          <w:spacing w:val="0"/>
          <w:sz w:val="24"/>
          <w:szCs w:val="24"/>
          <w:highlight w:val="none"/>
          <w:shd w:val="clear" w:color="auto" w:fill="FFFFFF"/>
          <w:lang w:eastAsia="zh-CN"/>
        </w:rPr>
      </w:pPr>
      <w:r>
        <w:rPr>
          <w:rFonts w:hint="eastAsia" w:ascii="宋体" w:hAnsi="宋体" w:eastAsia="宋体" w:cs="宋体"/>
          <w:color w:val="auto"/>
          <w:sz w:val="24"/>
          <w:highlight w:val="none"/>
          <w:shd w:val="clear" w:color="auto" w:fill="FFFFFF"/>
        </w:rPr>
        <w:t>有依法缴纳税收和社会保障资金的良好记录（</w:t>
      </w:r>
      <w:r>
        <w:rPr>
          <w:rFonts w:hint="eastAsia" w:ascii="宋体" w:hAnsi="宋体" w:cs="宋体"/>
          <w:color w:val="auto"/>
          <w:sz w:val="24"/>
          <w:highlight w:val="none"/>
          <w:shd w:val="clear" w:color="auto" w:fill="FFFFFF"/>
          <w:lang w:eastAsia="zh-CN"/>
        </w:rPr>
        <w:t>提供扣除投标邀请书发出当月往前顺推6个月内任意一个月依法缴纳税收和社会保障资金的相关材料。如依法免税或不需要缴纳社会保障资金的，提供相应证明材料</w:t>
      </w:r>
      <w:r>
        <w:rPr>
          <w:rFonts w:hint="eastAsia" w:ascii="宋体" w:hAnsi="宋体" w:eastAsia="宋体" w:cs="宋体"/>
          <w:color w:val="auto"/>
          <w:sz w:val="24"/>
          <w:highlight w:val="none"/>
          <w:shd w:val="clear" w:color="auto" w:fill="FFFFFF"/>
        </w:rPr>
        <w:t>）</w:t>
      </w:r>
      <w:r>
        <w:rPr>
          <w:rFonts w:hint="eastAsia" w:ascii="宋体" w:hAnsi="宋体" w:eastAsia="宋体" w:cs="宋体"/>
          <w:color w:val="auto"/>
          <w:sz w:val="24"/>
          <w:highlight w:val="none"/>
          <w:shd w:val="clear" w:color="auto" w:fill="FFFFFF"/>
          <w:lang w:eastAsia="zh-CN"/>
        </w:rPr>
        <w:t>。</w:t>
      </w:r>
    </w:p>
    <w:p>
      <w:pPr>
        <w:keepNext w:val="0"/>
        <w:keepLines w:val="0"/>
        <w:pageBreakBefore w:val="0"/>
        <w:widowControl w:val="0"/>
        <w:numPr>
          <w:ilvl w:val="0"/>
          <w:numId w:val="7"/>
        </w:numPr>
        <w:shd w:val="clear" w:color="auto" w:fill="auto"/>
        <w:kinsoku/>
        <w:wordWrap/>
        <w:overflowPunct/>
        <w:topLinePunct w:val="0"/>
        <w:autoSpaceDE/>
        <w:autoSpaceDN/>
        <w:bidi w:val="0"/>
        <w:adjustRightInd/>
        <w:snapToGrid/>
        <w:spacing w:before="0" w:beforeLines="0" w:afterLines="0" w:line="360" w:lineRule="auto"/>
        <w:ind w:left="845" w:leftChars="0" w:right="0" w:rightChars="0" w:hanging="425" w:firstLineChars="0"/>
        <w:jc w:val="left"/>
        <w:textAlignment w:val="auto"/>
        <w:rPr>
          <w:rFonts w:hint="eastAsia" w:ascii="宋体" w:hAnsi="宋体" w:eastAsia="宋体" w:cs="宋体"/>
          <w:i w:val="0"/>
          <w:iCs w:val="0"/>
          <w:caps w:val="0"/>
          <w:color w:val="auto"/>
          <w:spacing w:val="0"/>
          <w:sz w:val="24"/>
          <w:szCs w:val="24"/>
          <w:highlight w:val="none"/>
          <w:shd w:val="clear" w:color="auto" w:fill="FFFFFF"/>
          <w:lang w:eastAsia="zh-CN"/>
        </w:rPr>
      </w:pPr>
      <w:r>
        <w:rPr>
          <w:rFonts w:hint="eastAsia" w:ascii="宋体" w:hAnsi="宋体" w:eastAsia="宋体" w:cs="宋体"/>
          <w:i w:val="0"/>
          <w:iCs w:val="0"/>
          <w:caps w:val="0"/>
          <w:color w:val="auto"/>
          <w:spacing w:val="0"/>
          <w:sz w:val="24"/>
          <w:szCs w:val="24"/>
          <w:highlight w:val="none"/>
          <w:shd w:val="clear" w:color="auto" w:fill="FFFFFF"/>
        </w:rPr>
        <w:t>履行合同所必需的设备和专业技术能力：按投标文件格式填报设备及专业技术能力情况。</w:t>
      </w:r>
    </w:p>
    <w:p>
      <w:pPr>
        <w:keepNext w:val="0"/>
        <w:keepLines w:val="0"/>
        <w:pageBreakBefore w:val="0"/>
        <w:widowControl w:val="0"/>
        <w:numPr>
          <w:ilvl w:val="0"/>
          <w:numId w:val="7"/>
        </w:numPr>
        <w:shd w:val="clear" w:color="auto" w:fill="auto"/>
        <w:kinsoku/>
        <w:wordWrap/>
        <w:overflowPunct/>
        <w:topLinePunct w:val="0"/>
        <w:autoSpaceDE/>
        <w:autoSpaceDN/>
        <w:bidi w:val="0"/>
        <w:adjustRightInd/>
        <w:snapToGrid/>
        <w:spacing w:before="0" w:beforeLines="0" w:afterLines="0" w:line="360" w:lineRule="auto"/>
        <w:ind w:left="845" w:leftChars="0" w:right="0" w:rightChars="0" w:hanging="425" w:firstLineChars="0"/>
        <w:jc w:val="left"/>
        <w:textAlignment w:val="auto"/>
        <w:rPr>
          <w:rFonts w:hint="eastAsia" w:ascii="宋体" w:hAnsi="宋体" w:eastAsia="宋体" w:cs="宋体"/>
          <w:i w:val="0"/>
          <w:iCs w:val="0"/>
          <w:caps w:val="0"/>
          <w:color w:val="auto"/>
          <w:spacing w:val="0"/>
          <w:sz w:val="24"/>
          <w:szCs w:val="24"/>
          <w:highlight w:val="none"/>
          <w:shd w:val="clear" w:color="auto" w:fill="FFFFFF"/>
          <w:lang w:eastAsia="zh-CN"/>
        </w:rPr>
      </w:pPr>
      <w:r>
        <w:rPr>
          <w:rFonts w:hint="eastAsia" w:ascii="宋体" w:hAnsi="宋体" w:eastAsia="宋体" w:cs="宋体"/>
          <w:color w:val="auto"/>
          <w:sz w:val="24"/>
          <w:highlight w:val="none"/>
          <w:shd w:val="clear" w:color="auto" w:fill="FFFFFF"/>
        </w:rPr>
        <w:t>参加政府采购活动前三年内，在经营活动中没有重大违法记录（提供</w:t>
      </w:r>
      <w:r>
        <w:rPr>
          <w:rFonts w:hint="eastAsia" w:ascii="宋体" w:hAnsi="宋体" w:cs="宋体"/>
          <w:color w:val="auto"/>
          <w:sz w:val="24"/>
          <w:highlight w:val="none"/>
          <w:shd w:val="clear" w:color="auto" w:fill="FFFFFF"/>
          <w:lang w:eastAsia="zh-CN"/>
        </w:rPr>
        <w:t>《</w:t>
      </w:r>
      <w:r>
        <w:rPr>
          <w:rFonts w:hint="eastAsia" w:ascii="宋体" w:hAnsi="宋体" w:eastAsia="宋体" w:cs="宋体"/>
          <w:color w:val="auto"/>
          <w:sz w:val="24"/>
          <w:highlight w:val="none"/>
          <w:shd w:val="clear" w:color="auto" w:fill="FFFFFF"/>
        </w:rPr>
        <w:t>投标人资格声明函</w:t>
      </w:r>
      <w:r>
        <w:rPr>
          <w:rFonts w:hint="eastAsia" w:ascii="宋体" w:hAnsi="宋体" w:cs="宋体"/>
          <w:color w:val="auto"/>
          <w:sz w:val="24"/>
          <w:highlight w:val="none"/>
          <w:shd w:val="clear" w:color="auto" w:fill="FFFFFF"/>
          <w:lang w:eastAsia="zh-CN"/>
        </w:rPr>
        <w:t>》</w:t>
      </w:r>
      <w:r>
        <w:rPr>
          <w:rFonts w:hint="eastAsia" w:ascii="宋体" w:hAnsi="宋体" w:eastAsia="宋体" w:cs="宋体"/>
          <w:color w:val="auto"/>
          <w:sz w:val="24"/>
          <w:highlight w:val="none"/>
          <w:shd w:val="clear" w:color="auto" w:fill="FFFFFF"/>
        </w:rPr>
        <w:t>）</w:t>
      </w:r>
      <w:r>
        <w:rPr>
          <w:rFonts w:hint="eastAsia" w:ascii="宋体" w:hAnsi="宋体" w:eastAsia="宋体" w:cs="宋体"/>
          <w:color w:val="auto"/>
          <w:sz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rPr>
        <w:t>重大违法记录，是指</w:t>
      </w:r>
      <w:r>
        <w:rPr>
          <w:rFonts w:hint="eastAsia" w:ascii="宋体" w:hAnsi="宋体" w:cs="宋体"/>
          <w:i w:val="0"/>
          <w:iCs w:val="0"/>
          <w:caps w:val="0"/>
          <w:color w:val="auto"/>
          <w:spacing w:val="0"/>
          <w:sz w:val="24"/>
          <w:szCs w:val="24"/>
          <w:highlight w:val="none"/>
          <w:shd w:val="clear" w:color="auto" w:fill="FFFFFF"/>
          <w:lang w:val="en-US" w:eastAsia="zh-CN"/>
        </w:rPr>
        <w:t>投标人</w:t>
      </w:r>
      <w:r>
        <w:rPr>
          <w:rFonts w:hint="eastAsia" w:ascii="宋体" w:hAnsi="宋体" w:eastAsia="宋体" w:cs="宋体"/>
          <w:i w:val="0"/>
          <w:iCs w:val="0"/>
          <w:caps w:val="0"/>
          <w:color w:val="auto"/>
          <w:spacing w:val="0"/>
          <w:sz w:val="24"/>
          <w:szCs w:val="24"/>
          <w:highlight w:val="none"/>
          <w:shd w:val="clear" w:color="auto" w:fill="FFFFFF"/>
        </w:rPr>
        <w:t>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eastAsia="宋体" w:cs="宋体"/>
          <w:i w:val="0"/>
          <w:iCs w:val="0"/>
          <w:caps w:val="0"/>
          <w:color w:val="auto"/>
          <w:spacing w:val="0"/>
          <w:sz w:val="24"/>
          <w:szCs w:val="24"/>
          <w:highlight w:val="none"/>
          <w:shd w:val="clear" w:color="auto" w:fill="FFFFFF"/>
          <w:lang w:eastAsia="zh-CN"/>
        </w:rPr>
        <w:t>。】</w:t>
      </w:r>
    </w:p>
    <w:p>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before="0" w:beforeLines="0" w:afterLines="0" w:line="360" w:lineRule="auto"/>
        <w:ind w:left="845" w:leftChars="0" w:right="0" w:hanging="425"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投标人未被列入“信用中国”网站(www.creditchina.gov.cn)以下任何记录名单之 一：①失信被执行人；②重大税收违法失信主体；③政府采购严重违法失信行为。同时，不处于中国政府采购网(www.cc gp.gov.cn)“政府采购严重违法失信行为信息记录”中的禁止参加政府采购活动期间 。（说明：①由评标委员会于投标截止日在“信用中国”网站（www.creditchina.gov. cn）及中国政府采购网(www.ccgp.gov.cn)查询结果为准，如在上述网站查询结果均显示没有相关记录，视为不存在上述不良信用记录。②同时对信用信息查询记录和证据截图或下载存档。如相关失信记录已失效，投标人须提供相关证明资料）。</w:t>
      </w:r>
    </w:p>
    <w:p>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before="0" w:beforeLines="0" w:afterLines="0" w:line="360" w:lineRule="auto"/>
        <w:ind w:left="845" w:leftChars="0" w:right="0" w:hanging="425"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单位负责人为同一人或者存在直接控股、管理关系的不同投标人，不得参加同一合同项下的政府采购活动。</w:t>
      </w:r>
      <w:r>
        <w:rPr>
          <w:rFonts w:hint="eastAsia" w:ascii="宋体" w:hAnsi="宋体" w:eastAsia="宋体" w:cs="宋体"/>
          <w:i w:val="0"/>
          <w:iCs w:val="0"/>
          <w:caps w:val="0"/>
          <w:color w:val="auto"/>
          <w:spacing w:val="0"/>
          <w:sz w:val="24"/>
          <w:szCs w:val="24"/>
          <w:highlight w:val="none"/>
          <w:shd w:val="clear" w:color="auto" w:fill="FFFFFF"/>
        </w:rPr>
        <w:t>为本项目提供整体设计、规范编制或者</w:t>
      </w:r>
      <w:r>
        <w:rPr>
          <w:rFonts w:hint="eastAsia" w:ascii="宋体" w:hAnsi="宋体" w:eastAsia="宋体" w:cs="宋体"/>
          <w:i w:val="0"/>
          <w:iCs w:val="0"/>
          <w:caps w:val="0"/>
          <w:color w:val="auto"/>
          <w:spacing w:val="0"/>
          <w:sz w:val="24"/>
          <w:szCs w:val="24"/>
          <w:highlight w:val="none"/>
          <w:shd w:val="clear" w:color="auto" w:fill="FFFFFF"/>
          <w:lang w:eastAsia="zh-CN"/>
        </w:rPr>
        <w:t>项目管理</w:t>
      </w:r>
      <w:r>
        <w:rPr>
          <w:rFonts w:hint="eastAsia" w:ascii="宋体" w:hAnsi="宋体" w:eastAsia="宋体" w:cs="宋体"/>
          <w:i w:val="0"/>
          <w:iCs w:val="0"/>
          <w:caps w:val="0"/>
          <w:color w:val="auto"/>
          <w:spacing w:val="0"/>
          <w:sz w:val="24"/>
          <w:szCs w:val="24"/>
          <w:highlight w:val="none"/>
          <w:shd w:val="clear" w:color="auto" w:fill="FFFFFF"/>
        </w:rPr>
        <w:t>、监理、检测等服务的</w:t>
      </w:r>
      <w:r>
        <w:rPr>
          <w:rFonts w:hint="eastAsia" w:ascii="宋体" w:hAnsi="宋体" w:eastAsia="宋体" w:cs="宋体"/>
          <w:i w:val="0"/>
          <w:iCs w:val="0"/>
          <w:caps w:val="0"/>
          <w:color w:val="auto"/>
          <w:spacing w:val="0"/>
          <w:sz w:val="24"/>
          <w:szCs w:val="24"/>
          <w:highlight w:val="none"/>
          <w:shd w:val="clear" w:color="auto" w:fill="FFFFFF"/>
          <w:lang w:eastAsia="zh-CN"/>
        </w:rPr>
        <w:t>投标人</w:t>
      </w:r>
      <w:r>
        <w:rPr>
          <w:rFonts w:hint="eastAsia" w:ascii="宋体" w:hAnsi="宋体" w:eastAsia="宋体" w:cs="宋体"/>
          <w:i w:val="0"/>
          <w:iCs w:val="0"/>
          <w:caps w:val="0"/>
          <w:color w:val="auto"/>
          <w:spacing w:val="0"/>
          <w:sz w:val="24"/>
          <w:szCs w:val="24"/>
          <w:highlight w:val="none"/>
          <w:shd w:val="clear" w:color="auto" w:fill="FFFFFF"/>
        </w:rPr>
        <w:t>，不得再参与本项目投标。投标人须提供《</w:t>
      </w:r>
      <w:r>
        <w:rPr>
          <w:rFonts w:hint="eastAsia" w:ascii="宋体" w:hAnsi="宋体" w:eastAsia="宋体" w:cs="宋体"/>
          <w:color w:val="auto"/>
          <w:sz w:val="24"/>
          <w:highlight w:val="none"/>
          <w:shd w:val="clear" w:color="auto" w:fill="FFFFFF"/>
        </w:rPr>
        <w:t>投标人资格声明函</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cs="宋体"/>
          <w:i w:val="0"/>
          <w:iCs w:val="0"/>
          <w:caps w:val="0"/>
          <w:color w:val="auto"/>
          <w:spacing w:val="0"/>
          <w:sz w:val="24"/>
          <w:szCs w:val="24"/>
          <w:highlight w:val="none"/>
          <w:shd w:val="clear" w:color="auto" w:fill="FFFFFF"/>
          <w:lang w:eastAsia="zh-CN"/>
        </w:rPr>
        <w:t>。</w:t>
      </w:r>
    </w:p>
    <w:p>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before="0" w:beforeLines="0" w:afterLines="0" w:line="360" w:lineRule="auto"/>
        <w:ind w:left="845" w:leftChars="0" w:right="0" w:hanging="425"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本项目不接受联合体参与投标</w:t>
      </w:r>
      <w:r>
        <w:rPr>
          <w:rFonts w:hint="eastAsia" w:ascii="宋体" w:hAnsi="宋体" w:eastAsia="宋体" w:cs="宋体"/>
          <w:color w:val="auto"/>
          <w:sz w:val="24"/>
          <w:szCs w:val="24"/>
          <w:highlight w:val="none"/>
          <w:lang w:val="en-US" w:eastAsia="zh-CN"/>
        </w:rPr>
        <w:t>。</w:t>
      </w:r>
    </w:p>
    <w:p>
      <w:pPr>
        <w:numPr>
          <w:ilvl w:val="0"/>
          <w:numId w:val="4"/>
        </w:numPr>
        <w:shd w:val="clear" w:color="auto" w:fill="auto"/>
        <w:spacing w:line="360" w:lineRule="auto"/>
        <w:ind w:left="0" w:leftChars="0" w:firstLine="420" w:firstLineChars="0"/>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获取招标文件</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beforeLines="0" w:afterLines="0" w:line="360" w:lineRule="auto"/>
        <w:ind w:left="420" w:leftChars="0" w:right="0" w:rightChars="0" w:firstLine="48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时间：202</w:t>
      </w: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eastAsia="zh-CN"/>
        </w:rPr>
        <w:t>年</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月</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日至202</w:t>
      </w: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eastAsia="zh-CN"/>
        </w:rPr>
        <w:t>年</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月</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日，每天上午09:00至12:00,下午14:30至17:30（北京时间，法定节假日除外）</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beforeLines="0" w:afterLines="0" w:line="360" w:lineRule="auto"/>
        <w:ind w:left="420" w:leftChars="0" w:right="0" w:righ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地点：广东杰信项目管理有限公司（佛山市三水区西南街道同福路10号区行政服务中心大院3号楼305）</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beforeLines="0" w:afterLines="0" w:line="360" w:lineRule="auto"/>
        <w:ind w:left="420" w:leftChars="0" w:right="0" w:righ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方式：现场获取或邮件报名（在线获取）</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beforeLines="0" w:afterLines="0" w:line="360" w:lineRule="auto"/>
        <w:ind w:left="420" w:leftChars="0" w:right="0" w:righ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售价：招标文件每套售价</w:t>
      </w:r>
      <w:r>
        <w:rPr>
          <w:rFonts w:hint="eastAsia" w:ascii="宋体" w:hAnsi="宋体" w:eastAsia="宋体" w:cs="宋体"/>
          <w:bCs/>
          <w:color w:val="auto"/>
          <w:kern w:val="0"/>
          <w:sz w:val="24"/>
          <w:szCs w:val="24"/>
          <w:highlight w:val="none"/>
          <w:lang w:val="zh-CN"/>
        </w:rPr>
        <w:t>¥</w:t>
      </w:r>
      <w:r>
        <w:rPr>
          <w:rFonts w:hint="eastAsia" w:ascii="宋体" w:hAnsi="宋体" w:eastAsia="宋体" w:cs="宋体"/>
          <w:b w:val="0"/>
          <w:bCs w:val="0"/>
          <w:color w:val="auto"/>
          <w:sz w:val="24"/>
          <w:szCs w:val="24"/>
          <w:highlight w:val="none"/>
          <w:lang w:val="en-US" w:eastAsia="zh-CN"/>
        </w:rPr>
        <w:t>500元，售后不退。</w:t>
      </w:r>
    </w:p>
    <w:p>
      <w:pPr>
        <w:widowControl/>
        <w:numPr>
          <w:ilvl w:val="0"/>
          <w:numId w:val="0"/>
        </w:numPr>
        <w:shd w:val="clear" w:color="auto" w:fill="auto"/>
        <w:tabs>
          <w:tab w:val="left" w:pos="420"/>
        </w:tabs>
        <w:spacing w:line="360" w:lineRule="auto"/>
        <w:ind w:left="420" w:leftChars="0" w:right="-197" w:rightChars="-94"/>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zh-CN" w:eastAsia="zh-CN"/>
        </w:rPr>
        <w:t>购买文件时须提交以下资料</w:t>
      </w:r>
      <w:r>
        <w:rPr>
          <w:rFonts w:hint="eastAsia" w:ascii="宋体" w:hAnsi="宋体" w:eastAsia="宋体" w:cs="宋体"/>
          <w:b/>
          <w:bCs/>
          <w:color w:val="auto"/>
          <w:sz w:val="24"/>
          <w:szCs w:val="24"/>
          <w:highlight w:val="none"/>
          <w:lang w:val="en-US" w:eastAsia="zh-CN"/>
        </w:rPr>
        <w:t>：</w:t>
      </w:r>
    </w:p>
    <w:p>
      <w:pPr>
        <w:numPr>
          <w:ilvl w:val="0"/>
          <w:numId w:val="8"/>
        </w:numPr>
        <w:shd w:val="clear" w:color="auto" w:fill="auto"/>
        <w:tabs>
          <w:tab w:val="left" w:pos="420"/>
          <w:tab w:val="clear" w:pos="840"/>
        </w:tabs>
        <w:spacing w:line="360" w:lineRule="auto"/>
        <w:ind w:left="1265" w:leftChars="0" w:hanging="425" w:firstLineChars="0"/>
        <w:jc w:val="left"/>
        <w:rPr>
          <w:rFonts w:hint="eastAsia" w:ascii="宋体" w:hAnsi="宋体" w:eastAsia="宋体" w:cs="宋体"/>
          <w:b w:val="0"/>
          <w:bCs w:val="0"/>
          <w:i w:val="0"/>
          <w:caps w:val="0"/>
          <w:color w:val="auto"/>
          <w:spacing w:val="0"/>
          <w:sz w:val="24"/>
          <w:szCs w:val="24"/>
          <w:highlight w:val="none"/>
          <w:shd w:val="clear" w:color="auto" w:fill="auto"/>
          <w:lang w:val="zh-CN" w:eastAsia="zh-CN"/>
        </w:rPr>
      </w:pPr>
      <w:r>
        <w:rPr>
          <w:rFonts w:hint="eastAsia" w:ascii="宋体" w:hAnsi="宋体" w:cs="宋体"/>
          <w:b w:val="0"/>
          <w:bCs w:val="0"/>
          <w:i w:val="0"/>
          <w:caps w:val="0"/>
          <w:color w:val="auto"/>
          <w:spacing w:val="0"/>
          <w:sz w:val="24"/>
          <w:szCs w:val="24"/>
          <w:highlight w:val="none"/>
          <w:shd w:val="clear" w:color="auto" w:fill="auto"/>
          <w:lang w:val="en-US" w:eastAsia="zh-CN"/>
        </w:rPr>
        <w:t>招标文件</w:t>
      </w:r>
      <w:r>
        <w:rPr>
          <w:rFonts w:hint="eastAsia" w:ascii="宋体" w:hAnsi="宋体" w:eastAsia="宋体" w:cs="宋体"/>
          <w:b w:val="0"/>
          <w:bCs w:val="0"/>
          <w:i w:val="0"/>
          <w:caps w:val="0"/>
          <w:color w:val="auto"/>
          <w:spacing w:val="0"/>
          <w:sz w:val="24"/>
          <w:szCs w:val="24"/>
          <w:highlight w:val="none"/>
          <w:shd w:val="clear" w:color="auto" w:fill="auto"/>
          <w:lang w:val="zh-CN" w:eastAsia="zh-CN"/>
        </w:rPr>
        <w:t>发售登记表；</w:t>
      </w:r>
    </w:p>
    <w:p>
      <w:pPr>
        <w:numPr>
          <w:ilvl w:val="0"/>
          <w:numId w:val="8"/>
        </w:numPr>
        <w:shd w:val="clear" w:color="auto" w:fill="auto"/>
        <w:tabs>
          <w:tab w:val="left" w:pos="420"/>
          <w:tab w:val="clear" w:pos="840"/>
        </w:tabs>
        <w:spacing w:line="360" w:lineRule="auto"/>
        <w:ind w:left="1265" w:leftChars="0" w:hanging="425" w:firstLineChars="0"/>
        <w:jc w:val="left"/>
        <w:rPr>
          <w:rFonts w:hint="eastAsia" w:ascii="宋体" w:hAnsi="宋体" w:eastAsia="宋体" w:cs="宋体"/>
          <w:b w:val="0"/>
          <w:bCs w:val="0"/>
          <w:i w:val="0"/>
          <w:caps w:val="0"/>
          <w:color w:val="auto"/>
          <w:spacing w:val="0"/>
          <w:sz w:val="24"/>
          <w:szCs w:val="24"/>
          <w:highlight w:val="none"/>
          <w:shd w:val="clear" w:color="auto" w:fill="auto"/>
          <w:lang w:val="zh-CN" w:eastAsia="zh-CN"/>
        </w:rPr>
      </w:pPr>
      <w:r>
        <w:rPr>
          <w:rFonts w:hint="eastAsia" w:ascii="宋体" w:hAnsi="宋体" w:eastAsia="宋体" w:cs="宋体"/>
          <w:b w:val="0"/>
          <w:bCs w:val="0"/>
          <w:i w:val="0"/>
          <w:caps w:val="0"/>
          <w:color w:val="auto"/>
          <w:spacing w:val="0"/>
          <w:sz w:val="24"/>
          <w:szCs w:val="24"/>
          <w:highlight w:val="none"/>
          <w:shd w:val="clear" w:color="auto" w:fill="auto"/>
          <w:lang w:val="zh-CN" w:eastAsia="zh-CN"/>
        </w:rPr>
        <w:t>提供有效的营业执照（或事业法人登记证或社会团体法人登记证书等相关证明）复印件，加盖</w:t>
      </w:r>
      <w:r>
        <w:rPr>
          <w:rFonts w:hint="eastAsia" w:ascii="宋体" w:hAnsi="宋体" w:eastAsia="宋体" w:cs="宋体"/>
          <w:b w:val="0"/>
          <w:bCs w:val="0"/>
          <w:i w:val="0"/>
          <w:caps w:val="0"/>
          <w:color w:val="auto"/>
          <w:spacing w:val="0"/>
          <w:sz w:val="24"/>
          <w:szCs w:val="24"/>
          <w:highlight w:val="none"/>
          <w:shd w:val="clear" w:color="auto" w:fill="auto"/>
          <w:lang w:val="en-US" w:eastAsia="zh-CN"/>
        </w:rPr>
        <w:t>投标人</w:t>
      </w:r>
      <w:r>
        <w:rPr>
          <w:rFonts w:hint="eastAsia" w:ascii="宋体" w:hAnsi="宋体" w:eastAsia="宋体" w:cs="宋体"/>
          <w:b w:val="0"/>
          <w:bCs w:val="0"/>
          <w:i w:val="0"/>
          <w:caps w:val="0"/>
          <w:color w:val="auto"/>
          <w:spacing w:val="0"/>
          <w:sz w:val="24"/>
          <w:szCs w:val="24"/>
          <w:highlight w:val="none"/>
          <w:shd w:val="clear" w:color="auto" w:fill="auto"/>
          <w:lang w:val="zh-CN" w:eastAsia="zh-CN"/>
        </w:rPr>
        <w:t>公章。</w:t>
      </w:r>
    </w:p>
    <w:p>
      <w:pPr>
        <w:widowControl/>
        <w:numPr>
          <w:ilvl w:val="0"/>
          <w:numId w:val="0"/>
        </w:numPr>
        <w:shd w:val="clear" w:color="auto" w:fill="auto"/>
        <w:tabs>
          <w:tab w:val="left" w:pos="420"/>
        </w:tabs>
        <w:spacing w:line="360" w:lineRule="auto"/>
        <w:ind w:left="420" w:leftChars="0" w:right="-197" w:rightChars="-94"/>
        <w:jc w:val="left"/>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zh-CN"/>
        </w:rPr>
        <w:t>招标文件购买方式（本公司只接受通过以下方式正式获取招标文件的投标人登记）：</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beforeLines="0" w:afterLines="0" w:line="360" w:lineRule="auto"/>
        <w:ind w:left="420" w:leftChars="0" w:right="0" w:righ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现场登记或邮件报名。邮件报名的，投标人提交登记资料并扫描发送至采购代理机构邮箱</w:t>
      </w:r>
      <w:r>
        <w:rPr>
          <w:rFonts w:hint="eastAsia" w:ascii="宋体" w:hAnsi="宋体" w:eastAsia="宋体" w:cs="宋体"/>
          <w:b w:val="0"/>
          <w:bCs w:val="0"/>
          <w:color w:val="auto"/>
          <w:sz w:val="24"/>
          <w:szCs w:val="24"/>
          <w:highlight w:val="none"/>
          <w:lang w:val="en-US" w:eastAsia="zh-CN"/>
        </w:rPr>
        <w:fldChar w:fldCharType="begin"/>
      </w:r>
      <w:r>
        <w:rPr>
          <w:rFonts w:hint="eastAsia" w:ascii="宋体" w:hAnsi="宋体" w:eastAsia="宋体" w:cs="宋体"/>
          <w:b w:val="0"/>
          <w:bCs w:val="0"/>
          <w:color w:val="auto"/>
          <w:sz w:val="24"/>
          <w:szCs w:val="24"/>
          <w:highlight w:val="none"/>
          <w:lang w:val="en-US" w:eastAsia="zh-CN"/>
        </w:rPr>
        <w:instrText xml:space="preserve"> HYPERLINK "mailto:fsguangshui@163.com" </w:instrText>
      </w:r>
      <w:r>
        <w:rPr>
          <w:rFonts w:hint="eastAsia" w:ascii="宋体" w:hAnsi="宋体" w:eastAsia="宋体" w:cs="宋体"/>
          <w:b w:val="0"/>
          <w:bCs w:val="0"/>
          <w:color w:val="auto"/>
          <w:sz w:val="24"/>
          <w:szCs w:val="24"/>
          <w:highlight w:val="none"/>
          <w:lang w:val="en-US" w:eastAsia="zh-CN"/>
        </w:rPr>
        <w:fldChar w:fldCharType="separate"/>
      </w:r>
      <w:r>
        <w:rPr>
          <w:rFonts w:hint="eastAsia" w:ascii="宋体" w:hAnsi="宋体" w:eastAsia="宋体" w:cs="宋体"/>
          <w:b w:val="0"/>
          <w:bCs w:val="0"/>
          <w:color w:val="auto"/>
          <w:sz w:val="24"/>
          <w:szCs w:val="24"/>
          <w:highlight w:val="none"/>
          <w:lang w:val="en-US" w:eastAsia="zh-CN"/>
        </w:rPr>
        <w:t>gdjiexin2019@163.com</w:t>
      </w:r>
      <w:r>
        <w:rPr>
          <w:rFonts w:hint="default" w:ascii="宋体" w:hAnsi="宋体" w:eastAsia="宋体" w:cs="宋体"/>
          <w:b w:val="0"/>
          <w:bCs w:val="0"/>
          <w:color w:val="auto"/>
          <w:sz w:val="24"/>
          <w:szCs w:val="24"/>
          <w:highlight w:val="none"/>
          <w:lang w:val="en-US" w:eastAsia="zh-CN"/>
        </w:rPr>
        <w:fldChar w:fldCharType="end"/>
      </w:r>
      <w:r>
        <w:rPr>
          <w:rFonts w:hint="eastAsia" w:ascii="宋体" w:hAnsi="宋体" w:eastAsia="宋体" w:cs="宋体"/>
          <w:b w:val="0"/>
          <w:bCs w:val="0"/>
          <w:color w:val="auto"/>
          <w:sz w:val="24"/>
          <w:szCs w:val="24"/>
          <w:highlight w:val="none"/>
          <w:lang w:val="en-US" w:eastAsia="zh-CN"/>
        </w:rPr>
        <w:t>，随后采购代理机构回复</w:t>
      </w:r>
      <w:r>
        <w:rPr>
          <w:rFonts w:hint="eastAsia" w:ascii="宋体" w:hAnsi="宋体" w:cs="宋体"/>
          <w:b w:val="0"/>
          <w:bCs w:val="0"/>
          <w:color w:val="auto"/>
          <w:sz w:val="24"/>
          <w:szCs w:val="24"/>
          <w:highlight w:val="none"/>
          <w:lang w:val="en-US" w:eastAsia="zh-CN"/>
        </w:rPr>
        <w:t>招标文件</w:t>
      </w:r>
      <w:r>
        <w:rPr>
          <w:rFonts w:hint="eastAsia" w:ascii="宋体" w:hAnsi="宋体" w:eastAsia="宋体" w:cs="宋体"/>
          <w:b w:val="0"/>
          <w:bCs w:val="0"/>
          <w:color w:val="auto"/>
          <w:sz w:val="24"/>
          <w:szCs w:val="24"/>
          <w:highlight w:val="none"/>
          <w:lang w:val="en-US" w:eastAsia="zh-CN"/>
        </w:rPr>
        <w:t>工本费收款信息，确认收款后，采购代理机构发送</w:t>
      </w:r>
      <w:r>
        <w:rPr>
          <w:rFonts w:hint="eastAsia" w:ascii="宋体" w:hAnsi="宋体" w:cs="宋体"/>
          <w:b w:val="0"/>
          <w:bCs w:val="0"/>
          <w:color w:val="auto"/>
          <w:sz w:val="24"/>
          <w:szCs w:val="24"/>
          <w:highlight w:val="none"/>
          <w:lang w:val="en-US" w:eastAsia="zh-CN"/>
        </w:rPr>
        <w:t>招标文件</w:t>
      </w:r>
      <w:r>
        <w:rPr>
          <w:rFonts w:hint="eastAsia" w:ascii="宋体" w:hAnsi="宋体" w:eastAsia="宋体" w:cs="宋体"/>
          <w:b w:val="0"/>
          <w:bCs w:val="0"/>
          <w:color w:val="auto"/>
          <w:sz w:val="24"/>
          <w:szCs w:val="24"/>
          <w:highlight w:val="none"/>
          <w:lang w:val="en-US" w:eastAsia="zh-CN"/>
        </w:rPr>
        <w:t>电子版word文档格式和PDF格式邮件。</w:t>
      </w:r>
    </w:p>
    <w:p>
      <w:pPr>
        <w:widowControl/>
        <w:numPr>
          <w:ilvl w:val="0"/>
          <w:numId w:val="0"/>
        </w:numPr>
        <w:shd w:val="clear" w:color="auto" w:fill="auto"/>
        <w:tabs>
          <w:tab w:val="left" w:pos="420"/>
        </w:tabs>
        <w:spacing w:line="360" w:lineRule="auto"/>
        <w:ind w:left="420" w:leftChars="0" w:right="-197" w:rightChars="-94"/>
        <w:jc w:val="left"/>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 xml:space="preserve">本项目不举行集中答疑会，若有疑问，请以书面或传真（0757-87761288）的形式通知采购代理机构。 </w:t>
      </w:r>
    </w:p>
    <w:p>
      <w:pPr>
        <w:numPr>
          <w:ilvl w:val="0"/>
          <w:numId w:val="4"/>
        </w:numPr>
        <w:shd w:val="clear" w:color="auto" w:fill="auto"/>
        <w:spacing w:line="360" w:lineRule="auto"/>
        <w:ind w:left="0" w:leftChars="0" w:firstLine="420" w:firstLineChars="0"/>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提交投标文件截止时间、开标时间和地点</w:t>
      </w:r>
    </w:p>
    <w:p>
      <w:pPr>
        <w:numPr>
          <w:ilvl w:val="0"/>
          <w:numId w:val="9"/>
        </w:numPr>
        <w:shd w:val="clear" w:color="auto" w:fill="auto"/>
        <w:spacing w:line="360" w:lineRule="auto"/>
        <w:ind w:firstLine="480" w:firstLineChars="200"/>
        <w:jc w:val="left"/>
        <w:rPr>
          <w:rFonts w:hint="eastAsia" w:ascii="宋体" w:hAnsi="宋体" w:eastAsia="宋体" w:cs="宋体"/>
          <w:b w:val="0"/>
          <w:bCs w:val="0"/>
          <w:i w:val="0"/>
          <w:caps w:val="0"/>
          <w:color w:val="auto"/>
          <w:spacing w:val="0"/>
          <w:sz w:val="24"/>
          <w:szCs w:val="24"/>
          <w:highlight w:val="none"/>
          <w:shd w:val="clear" w:color="auto" w:fill="auto"/>
          <w:lang w:val="en-US" w:eastAsia="zh-CN"/>
        </w:rPr>
      </w:pPr>
      <w:r>
        <w:rPr>
          <w:rFonts w:hint="eastAsia" w:ascii="宋体" w:hAnsi="宋体" w:eastAsia="宋体" w:cs="宋体"/>
          <w:b w:val="0"/>
          <w:bCs w:val="0"/>
          <w:i w:val="0"/>
          <w:caps w:val="0"/>
          <w:color w:val="auto"/>
          <w:spacing w:val="0"/>
          <w:sz w:val="24"/>
          <w:szCs w:val="24"/>
          <w:highlight w:val="none"/>
          <w:shd w:val="clear" w:color="auto" w:fill="auto"/>
          <w:lang w:val="en-US" w:eastAsia="zh-CN"/>
        </w:rPr>
        <w:t>递交投标文件截止时间：202</w:t>
      </w:r>
      <w:r>
        <w:rPr>
          <w:rFonts w:hint="eastAsia" w:ascii="宋体" w:hAnsi="宋体" w:cs="宋体"/>
          <w:b w:val="0"/>
          <w:bCs w:val="0"/>
          <w:i w:val="0"/>
          <w:caps w:val="0"/>
          <w:color w:val="auto"/>
          <w:spacing w:val="0"/>
          <w:sz w:val="24"/>
          <w:szCs w:val="24"/>
          <w:highlight w:val="none"/>
          <w:shd w:val="clear" w:color="auto" w:fill="auto"/>
          <w:lang w:val="en-US" w:eastAsia="zh-CN"/>
        </w:rPr>
        <w:t>4</w:t>
      </w:r>
      <w:r>
        <w:rPr>
          <w:rFonts w:hint="eastAsia" w:ascii="宋体" w:hAnsi="宋体" w:eastAsia="宋体" w:cs="宋体"/>
          <w:b w:val="0"/>
          <w:bCs w:val="0"/>
          <w:i w:val="0"/>
          <w:caps w:val="0"/>
          <w:color w:val="auto"/>
          <w:spacing w:val="0"/>
          <w:sz w:val="24"/>
          <w:szCs w:val="24"/>
          <w:highlight w:val="none"/>
          <w:shd w:val="clear" w:color="auto" w:fill="auto"/>
          <w:lang w:val="en-US" w:eastAsia="zh-CN"/>
        </w:rPr>
        <w:t>年</w:t>
      </w:r>
      <w:r>
        <w:rPr>
          <w:rFonts w:hint="eastAsia" w:ascii="宋体" w:hAnsi="宋体" w:cs="宋体"/>
          <w:b w:val="0"/>
          <w:bCs w:val="0"/>
          <w:i w:val="0"/>
          <w:caps w:val="0"/>
          <w:color w:val="auto"/>
          <w:spacing w:val="0"/>
          <w:sz w:val="24"/>
          <w:szCs w:val="24"/>
          <w:highlight w:val="none"/>
          <w:shd w:val="clear" w:color="auto" w:fill="auto"/>
          <w:lang w:val="en-US" w:eastAsia="zh-CN"/>
        </w:rPr>
        <w:t xml:space="preserve">  </w:t>
      </w:r>
      <w:r>
        <w:rPr>
          <w:rFonts w:hint="eastAsia" w:ascii="宋体" w:hAnsi="宋体" w:eastAsia="宋体" w:cs="宋体"/>
          <w:b w:val="0"/>
          <w:bCs w:val="0"/>
          <w:i w:val="0"/>
          <w:caps w:val="0"/>
          <w:color w:val="auto"/>
          <w:spacing w:val="0"/>
          <w:sz w:val="24"/>
          <w:szCs w:val="24"/>
          <w:highlight w:val="none"/>
          <w:shd w:val="clear" w:color="auto" w:fill="auto"/>
          <w:lang w:val="en-US" w:eastAsia="zh-CN"/>
        </w:rPr>
        <w:t>月</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i w:val="0"/>
          <w:caps w:val="0"/>
          <w:color w:val="auto"/>
          <w:spacing w:val="0"/>
          <w:sz w:val="24"/>
          <w:szCs w:val="24"/>
          <w:highlight w:val="none"/>
          <w:shd w:val="clear" w:color="auto" w:fill="auto"/>
          <w:lang w:val="en-US" w:eastAsia="zh-CN"/>
        </w:rPr>
        <w:t>日</w:t>
      </w:r>
      <w:r>
        <w:rPr>
          <w:rFonts w:hint="eastAsia" w:ascii="宋体" w:hAnsi="宋体" w:cs="宋体"/>
          <w:b w:val="0"/>
          <w:bCs w:val="0"/>
          <w:i w:val="0"/>
          <w:caps w:val="0"/>
          <w:color w:val="auto"/>
          <w:spacing w:val="0"/>
          <w:sz w:val="24"/>
          <w:szCs w:val="24"/>
          <w:highlight w:val="none"/>
          <w:shd w:val="clear" w:color="auto" w:fill="auto"/>
          <w:lang w:val="en-US" w:eastAsia="zh-CN"/>
        </w:rPr>
        <w:t xml:space="preserve"> </w:t>
      </w:r>
      <w:r>
        <w:rPr>
          <w:rFonts w:hint="eastAsia" w:ascii="宋体" w:hAnsi="宋体" w:eastAsia="宋体" w:cs="宋体"/>
          <w:b w:val="0"/>
          <w:bCs w:val="0"/>
          <w:i w:val="0"/>
          <w:caps w:val="0"/>
          <w:color w:val="auto"/>
          <w:spacing w:val="0"/>
          <w:sz w:val="24"/>
          <w:szCs w:val="24"/>
          <w:highlight w:val="none"/>
          <w:shd w:val="clear" w:color="auto" w:fill="auto"/>
          <w:lang w:val="zh-CN" w:eastAsia="zh-CN"/>
        </w:rPr>
        <w:t>上午</w:t>
      </w:r>
      <w:r>
        <w:rPr>
          <w:rFonts w:hint="eastAsia" w:ascii="宋体" w:hAnsi="宋体" w:eastAsia="宋体" w:cs="宋体"/>
          <w:b w:val="0"/>
          <w:bCs w:val="0"/>
          <w:i w:val="0"/>
          <w:caps w:val="0"/>
          <w:color w:val="auto"/>
          <w:spacing w:val="0"/>
          <w:sz w:val="24"/>
          <w:szCs w:val="24"/>
          <w:highlight w:val="none"/>
          <w:shd w:val="clear" w:color="auto" w:fill="auto"/>
          <w:lang w:val="en-US" w:eastAsia="zh-CN"/>
        </w:rPr>
        <w:t>9</w:t>
      </w:r>
      <w:r>
        <w:rPr>
          <w:rFonts w:hint="eastAsia" w:ascii="宋体" w:hAnsi="宋体" w:eastAsia="宋体" w:cs="宋体"/>
          <w:b w:val="0"/>
          <w:bCs w:val="0"/>
          <w:i w:val="0"/>
          <w:caps w:val="0"/>
          <w:color w:val="auto"/>
          <w:spacing w:val="0"/>
          <w:sz w:val="24"/>
          <w:szCs w:val="24"/>
          <w:highlight w:val="none"/>
          <w:shd w:val="clear" w:color="auto" w:fill="auto"/>
          <w:lang w:val="zh-CN" w:eastAsia="zh-CN"/>
        </w:rPr>
        <w:t>:</w:t>
      </w:r>
      <w:r>
        <w:rPr>
          <w:rFonts w:hint="eastAsia" w:ascii="宋体" w:hAnsi="宋体" w:eastAsia="宋体" w:cs="宋体"/>
          <w:b w:val="0"/>
          <w:bCs w:val="0"/>
          <w:i w:val="0"/>
          <w:caps w:val="0"/>
          <w:color w:val="auto"/>
          <w:spacing w:val="0"/>
          <w:sz w:val="24"/>
          <w:szCs w:val="24"/>
          <w:highlight w:val="none"/>
          <w:shd w:val="clear" w:color="auto" w:fill="auto"/>
          <w:lang w:val="en-US" w:eastAsia="zh-CN"/>
        </w:rPr>
        <w:t>30（09：00开始受理投标文件）</w:t>
      </w:r>
    </w:p>
    <w:p>
      <w:pPr>
        <w:numPr>
          <w:ilvl w:val="0"/>
          <w:numId w:val="9"/>
        </w:numPr>
        <w:shd w:val="clear" w:color="auto" w:fill="auto"/>
        <w:spacing w:line="360" w:lineRule="auto"/>
        <w:ind w:firstLine="480" w:firstLineChars="200"/>
        <w:jc w:val="left"/>
        <w:rPr>
          <w:rFonts w:hint="eastAsia" w:ascii="宋体" w:hAnsi="宋体" w:eastAsia="宋体" w:cs="宋体"/>
          <w:b w:val="0"/>
          <w:bCs w:val="0"/>
          <w:i w:val="0"/>
          <w:caps w:val="0"/>
          <w:color w:val="auto"/>
          <w:spacing w:val="0"/>
          <w:sz w:val="24"/>
          <w:szCs w:val="24"/>
          <w:highlight w:val="none"/>
          <w:shd w:val="clear" w:color="auto" w:fill="auto"/>
          <w:lang w:val="en-US" w:eastAsia="zh-CN"/>
        </w:rPr>
      </w:pPr>
      <w:r>
        <w:rPr>
          <w:rFonts w:hint="eastAsia" w:ascii="宋体" w:hAnsi="宋体" w:eastAsia="宋体" w:cs="宋体"/>
          <w:b w:val="0"/>
          <w:bCs w:val="0"/>
          <w:i w:val="0"/>
          <w:caps w:val="0"/>
          <w:color w:val="auto"/>
          <w:spacing w:val="0"/>
          <w:sz w:val="24"/>
          <w:szCs w:val="24"/>
          <w:highlight w:val="none"/>
          <w:shd w:val="clear" w:color="auto" w:fill="auto"/>
          <w:lang w:val="en-US" w:eastAsia="zh-CN"/>
        </w:rPr>
        <w:t>投标截止及开标时间：202</w:t>
      </w:r>
      <w:r>
        <w:rPr>
          <w:rFonts w:hint="eastAsia" w:ascii="宋体" w:hAnsi="宋体" w:cs="宋体"/>
          <w:b w:val="0"/>
          <w:bCs w:val="0"/>
          <w:i w:val="0"/>
          <w:caps w:val="0"/>
          <w:color w:val="auto"/>
          <w:spacing w:val="0"/>
          <w:sz w:val="24"/>
          <w:szCs w:val="24"/>
          <w:highlight w:val="none"/>
          <w:shd w:val="clear" w:color="auto" w:fill="auto"/>
          <w:lang w:val="en-US" w:eastAsia="zh-CN"/>
        </w:rPr>
        <w:t>4</w:t>
      </w:r>
      <w:r>
        <w:rPr>
          <w:rFonts w:hint="eastAsia" w:ascii="宋体" w:hAnsi="宋体" w:eastAsia="宋体" w:cs="宋体"/>
          <w:b w:val="0"/>
          <w:bCs w:val="0"/>
          <w:i w:val="0"/>
          <w:caps w:val="0"/>
          <w:color w:val="auto"/>
          <w:spacing w:val="0"/>
          <w:sz w:val="24"/>
          <w:szCs w:val="24"/>
          <w:highlight w:val="none"/>
          <w:shd w:val="clear" w:color="auto" w:fill="auto"/>
          <w:lang w:val="en-US" w:eastAsia="zh-CN"/>
        </w:rPr>
        <w:t>年</w:t>
      </w:r>
      <w:r>
        <w:rPr>
          <w:rFonts w:hint="eastAsia" w:ascii="宋体" w:hAnsi="宋体" w:cs="宋体"/>
          <w:b w:val="0"/>
          <w:bCs w:val="0"/>
          <w:i w:val="0"/>
          <w:caps w:val="0"/>
          <w:color w:val="auto"/>
          <w:spacing w:val="0"/>
          <w:sz w:val="24"/>
          <w:szCs w:val="24"/>
          <w:highlight w:val="none"/>
          <w:shd w:val="clear" w:color="auto" w:fill="auto"/>
          <w:lang w:val="en-US" w:eastAsia="zh-CN"/>
        </w:rPr>
        <w:t xml:space="preserve">  </w:t>
      </w:r>
      <w:r>
        <w:rPr>
          <w:rFonts w:hint="eastAsia" w:ascii="宋体" w:hAnsi="宋体" w:eastAsia="宋体" w:cs="宋体"/>
          <w:b w:val="0"/>
          <w:bCs w:val="0"/>
          <w:i w:val="0"/>
          <w:caps w:val="0"/>
          <w:color w:val="auto"/>
          <w:spacing w:val="0"/>
          <w:sz w:val="24"/>
          <w:szCs w:val="24"/>
          <w:highlight w:val="none"/>
          <w:shd w:val="clear" w:color="auto" w:fill="auto"/>
          <w:lang w:val="en-US" w:eastAsia="zh-CN"/>
        </w:rPr>
        <w:t>月</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i w:val="0"/>
          <w:caps w:val="0"/>
          <w:color w:val="auto"/>
          <w:spacing w:val="0"/>
          <w:sz w:val="24"/>
          <w:szCs w:val="24"/>
          <w:highlight w:val="none"/>
          <w:shd w:val="clear" w:color="auto" w:fill="auto"/>
          <w:lang w:val="en-US" w:eastAsia="zh-CN"/>
        </w:rPr>
        <w:t>日</w:t>
      </w:r>
      <w:r>
        <w:rPr>
          <w:rFonts w:hint="eastAsia" w:ascii="宋体" w:hAnsi="宋体" w:cs="宋体"/>
          <w:b w:val="0"/>
          <w:bCs w:val="0"/>
          <w:i w:val="0"/>
          <w:caps w:val="0"/>
          <w:color w:val="auto"/>
          <w:spacing w:val="0"/>
          <w:sz w:val="24"/>
          <w:szCs w:val="24"/>
          <w:highlight w:val="none"/>
          <w:shd w:val="clear" w:color="auto" w:fill="auto"/>
          <w:lang w:val="en-US" w:eastAsia="zh-CN"/>
        </w:rPr>
        <w:t xml:space="preserve"> </w:t>
      </w:r>
      <w:r>
        <w:rPr>
          <w:rFonts w:hint="eastAsia" w:ascii="宋体" w:hAnsi="宋体" w:eastAsia="宋体" w:cs="宋体"/>
          <w:b w:val="0"/>
          <w:bCs w:val="0"/>
          <w:i w:val="0"/>
          <w:caps w:val="0"/>
          <w:color w:val="auto"/>
          <w:spacing w:val="0"/>
          <w:sz w:val="24"/>
          <w:szCs w:val="24"/>
          <w:highlight w:val="none"/>
          <w:shd w:val="clear" w:color="auto" w:fill="auto"/>
          <w:lang w:val="zh-CN" w:eastAsia="zh-CN"/>
        </w:rPr>
        <w:t>上午</w:t>
      </w:r>
      <w:r>
        <w:rPr>
          <w:rFonts w:hint="eastAsia" w:ascii="宋体" w:hAnsi="宋体" w:eastAsia="宋体" w:cs="宋体"/>
          <w:b w:val="0"/>
          <w:bCs w:val="0"/>
          <w:i w:val="0"/>
          <w:caps w:val="0"/>
          <w:color w:val="auto"/>
          <w:spacing w:val="0"/>
          <w:sz w:val="24"/>
          <w:szCs w:val="24"/>
          <w:highlight w:val="none"/>
          <w:shd w:val="clear" w:color="auto" w:fill="auto"/>
          <w:lang w:val="en-US" w:eastAsia="zh-CN"/>
        </w:rPr>
        <w:t>9</w:t>
      </w:r>
      <w:r>
        <w:rPr>
          <w:rFonts w:hint="eastAsia" w:ascii="宋体" w:hAnsi="宋体" w:eastAsia="宋体" w:cs="宋体"/>
          <w:b w:val="0"/>
          <w:bCs w:val="0"/>
          <w:i w:val="0"/>
          <w:caps w:val="0"/>
          <w:color w:val="auto"/>
          <w:spacing w:val="0"/>
          <w:sz w:val="24"/>
          <w:szCs w:val="24"/>
          <w:highlight w:val="none"/>
          <w:shd w:val="clear" w:color="auto" w:fill="auto"/>
          <w:lang w:val="zh-CN" w:eastAsia="zh-CN"/>
        </w:rPr>
        <w:t>:</w:t>
      </w:r>
      <w:r>
        <w:rPr>
          <w:rFonts w:hint="eastAsia" w:ascii="宋体" w:hAnsi="宋体" w:eastAsia="宋体" w:cs="宋体"/>
          <w:b w:val="0"/>
          <w:bCs w:val="0"/>
          <w:i w:val="0"/>
          <w:caps w:val="0"/>
          <w:color w:val="auto"/>
          <w:spacing w:val="0"/>
          <w:sz w:val="24"/>
          <w:szCs w:val="24"/>
          <w:highlight w:val="none"/>
          <w:shd w:val="clear" w:color="auto" w:fill="auto"/>
          <w:lang w:val="en-US" w:eastAsia="zh-CN"/>
        </w:rPr>
        <w:t>30（北京时间）</w:t>
      </w:r>
    </w:p>
    <w:p>
      <w:pPr>
        <w:numPr>
          <w:ilvl w:val="0"/>
          <w:numId w:val="9"/>
        </w:numPr>
        <w:shd w:val="clear" w:color="auto" w:fill="auto"/>
        <w:spacing w:line="360" w:lineRule="auto"/>
        <w:ind w:firstLine="480" w:firstLineChars="200"/>
        <w:jc w:val="left"/>
        <w:rPr>
          <w:rFonts w:hint="eastAsia" w:ascii="宋体" w:hAnsi="宋体" w:eastAsia="宋体" w:cs="宋体"/>
          <w:b w:val="0"/>
          <w:bCs w:val="0"/>
          <w:i w:val="0"/>
          <w:caps w:val="0"/>
          <w:color w:val="auto"/>
          <w:spacing w:val="0"/>
          <w:sz w:val="24"/>
          <w:szCs w:val="24"/>
          <w:highlight w:val="none"/>
          <w:shd w:val="clear" w:color="auto" w:fill="auto"/>
          <w:lang w:val="en-US" w:eastAsia="zh-CN"/>
        </w:rPr>
      </w:pPr>
      <w:r>
        <w:rPr>
          <w:rFonts w:hint="eastAsia" w:ascii="宋体" w:hAnsi="宋体" w:eastAsia="宋体" w:cs="宋体"/>
          <w:b w:val="0"/>
          <w:bCs w:val="0"/>
          <w:i w:val="0"/>
          <w:caps w:val="0"/>
          <w:color w:val="auto"/>
          <w:spacing w:val="0"/>
          <w:sz w:val="24"/>
          <w:szCs w:val="24"/>
          <w:highlight w:val="none"/>
          <w:shd w:val="clear" w:color="auto" w:fill="auto"/>
          <w:lang w:val="en-US" w:eastAsia="zh-CN"/>
        </w:rPr>
        <w:t>递交投标文件及开标地点：</w:t>
      </w:r>
      <w:r>
        <w:rPr>
          <w:rFonts w:hint="eastAsia" w:ascii="宋体" w:hAnsi="宋体" w:eastAsia="宋体" w:cs="宋体"/>
          <w:color w:val="auto"/>
          <w:sz w:val="24"/>
          <w:szCs w:val="24"/>
          <w:highlight w:val="none"/>
          <w:lang w:val="zh-CN" w:eastAsia="zh-CN"/>
        </w:rPr>
        <w:t>佛山市三水区西南街道同福路10号区行政服务中心大院3号楼3</w:t>
      </w:r>
      <w:r>
        <w:rPr>
          <w:rFonts w:hint="eastAsia" w:ascii="宋体" w:hAnsi="宋体" w:cs="宋体"/>
          <w:color w:val="auto"/>
          <w:sz w:val="24"/>
          <w:szCs w:val="24"/>
          <w:highlight w:val="none"/>
          <w:lang w:val="en-US" w:eastAsia="zh-CN"/>
        </w:rPr>
        <w:t>11</w:t>
      </w:r>
      <w:r>
        <w:rPr>
          <w:rFonts w:hint="eastAsia" w:ascii="宋体" w:hAnsi="宋体" w:eastAsia="宋体" w:cs="宋体"/>
          <w:b w:val="0"/>
          <w:bCs w:val="0"/>
          <w:i w:val="0"/>
          <w:caps w:val="0"/>
          <w:color w:val="auto"/>
          <w:spacing w:val="0"/>
          <w:sz w:val="24"/>
          <w:szCs w:val="24"/>
          <w:highlight w:val="none"/>
          <w:shd w:val="clear" w:color="auto" w:fill="auto"/>
          <w:lang w:val="en-US" w:eastAsia="zh-CN"/>
        </w:rPr>
        <w:t xml:space="preserve"> </w:t>
      </w:r>
    </w:p>
    <w:p>
      <w:pPr>
        <w:numPr>
          <w:ilvl w:val="0"/>
          <w:numId w:val="4"/>
        </w:numPr>
        <w:shd w:val="clear" w:color="auto" w:fill="auto"/>
        <w:spacing w:line="360" w:lineRule="auto"/>
        <w:ind w:left="0" w:leftChars="0" w:firstLine="420" w:firstLineChars="0"/>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对本次招标提出询问，请按以下方式联系。</w:t>
      </w:r>
    </w:p>
    <w:p>
      <w:pPr>
        <w:pageBreakBefore w:val="0"/>
        <w:widowControl/>
        <w:numPr>
          <w:ilvl w:val="0"/>
          <w:numId w:val="10"/>
        </w:numPr>
        <w:kinsoku/>
        <w:wordWrap/>
        <w:overflowPunct/>
        <w:topLinePunct w:val="0"/>
        <w:autoSpaceDE/>
        <w:autoSpaceDN/>
        <w:bidi w:val="0"/>
        <w:adjustRightInd/>
        <w:snapToGrid/>
        <w:spacing w:line="360" w:lineRule="auto"/>
        <w:ind w:left="845" w:leftChars="0" w:right="0" w:hanging="425" w:firstLineChars="0"/>
        <w:jc w:val="left"/>
        <w:textAlignment w:val="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采购人信息</w:t>
      </w:r>
    </w:p>
    <w:p>
      <w:pPr>
        <w:pageBreakBefore w:val="0"/>
        <w:widowControl/>
        <w:kinsoku/>
        <w:wordWrap/>
        <w:overflowPunct/>
        <w:topLinePunct w:val="0"/>
        <w:autoSpaceDE/>
        <w:autoSpaceDN/>
        <w:bidi w:val="0"/>
        <w:adjustRightInd w:val="0"/>
        <w:snapToGrid w:val="0"/>
        <w:spacing w:line="360" w:lineRule="auto"/>
        <w:ind w:left="-78" w:leftChars="0" w:right="-73" w:firstLine="818" w:firstLineChars="341"/>
        <w:jc w:val="left"/>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名称：</w:t>
      </w:r>
      <w:r>
        <w:rPr>
          <w:rFonts w:hint="eastAsia" w:ascii="宋体" w:hAnsi="宋体" w:cs="宋体"/>
          <w:color w:val="auto"/>
          <w:sz w:val="24"/>
          <w:szCs w:val="24"/>
          <w:highlight w:val="none"/>
          <w:u w:val="none"/>
          <w:lang w:eastAsia="zh-CN"/>
        </w:rPr>
        <w:t>佛山市三水区国睿再生资源回收有限公司</w:t>
      </w:r>
    </w:p>
    <w:p>
      <w:pPr>
        <w:pageBreakBefore w:val="0"/>
        <w:widowControl/>
        <w:kinsoku/>
        <w:wordWrap/>
        <w:overflowPunct/>
        <w:topLinePunct w:val="0"/>
        <w:autoSpaceDE/>
        <w:autoSpaceDN/>
        <w:bidi w:val="0"/>
        <w:adjustRightInd w:val="0"/>
        <w:snapToGrid w:val="0"/>
        <w:spacing w:line="360" w:lineRule="auto"/>
        <w:ind w:left="-78" w:leftChars="0" w:right="-73" w:firstLine="818" w:firstLineChars="341"/>
        <w:jc w:val="left"/>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地址：佛山市三水区西南街道广海大道中10号三楼</w:t>
      </w:r>
    </w:p>
    <w:p>
      <w:pPr>
        <w:widowControl/>
        <w:adjustRightInd w:val="0"/>
        <w:snapToGrid w:val="0"/>
        <w:spacing w:line="360" w:lineRule="auto"/>
        <w:ind w:left="-78" w:right="-73" w:firstLine="818" w:firstLineChars="341"/>
        <w:jc w:val="left"/>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联系</w:t>
      </w:r>
      <w:r>
        <w:rPr>
          <w:rFonts w:hint="eastAsia" w:ascii="宋体" w:hAnsi="宋体" w:cs="宋体"/>
          <w:color w:val="auto"/>
          <w:kern w:val="2"/>
          <w:sz w:val="24"/>
          <w:szCs w:val="24"/>
          <w:highlight w:val="none"/>
          <w:u w:val="none"/>
          <w:lang w:val="en-US" w:eastAsia="zh-CN" w:bidi="ar-SA"/>
        </w:rPr>
        <w:t>人</w:t>
      </w:r>
      <w:r>
        <w:rPr>
          <w:rFonts w:hint="eastAsia" w:ascii="宋体" w:hAnsi="宋体" w:eastAsia="宋体" w:cs="宋体"/>
          <w:color w:val="auto"/>
          <w:kern w:val="2"/>
          <w:sz w:val="24"/>
          <w:szCs w:val="24"/>
          <w:highlight w:val="none"/>
          <w:u w:val="none"/>
          <w:lang w:val="en-US" w:eastAsia="zh-CN" w:bidi="ar-SA"/>
        </w:rPr>
        <w:t>：郑</w:t>
      </w:r>
      <w:r>
        <w:rPr>
          <w:rFonts w:hint="eastAsia" w:ascii="宋体" w:hAnsi="宋体" w:cs="宋体"/>
          <w:color w:val="auto"/>
          <w:kern w:val="2"/>
          <w:sz w:val="24"/>
          <w:szCs w:val="24"/>
          <w:highlight w:val="none"/>
          <w:u w:val="none"/>
          <w:lang w:val="en-US" w:eastAsia="zh-CN" w:bidi="ar-SA"/>
        </w:rPr>
        <w:t>工</w:t>
      </w:r>
    </w:p>
    <w:p>
      <w:pPr>
        <w:widowControl/>
        <w:adjustRightInd w:val="0"/>
        <w:snapToGrid w:val="0"/>
        <w:spacing w:line="360" w:lineRule="auto"/>
        <w:ind w:left="-78" w:right="-73" w:firstLine="818" w:firstLineChars="341"/>
        <w:jc w:val="left"/>
        <w:rPr>
          <w:rFonts w:hint="eastAsia"/>
          <w:color w:val="auto"/>
          <w:highlight w:val="none"/>
          <w:lang w:val="en-US" w:eastAsia="zh-CN"/>
        </w:rPr>
      </w:pPr>
      <w:r>
        <w:rPr>
          <w:rFonts w:hint="eastAsia" w:ascii="宋体" w:hAnsi="宋体" w:eastAsia="宋体" w:cs="宋体"/>
          <w:color w:val="auto"/>
          <w:kern w:val="2"/>
          <w:sz w:val="24"/>
          <w:szCs w:val="24"/>
          <w:highlight w:val="none"/>
          <w:u w:val="none"/>
          <w:lang w:val="en-US" w:eastAsia="zh-CN" w:bidi="ar-SA"/>
        </w:rPr>
        <w:t>联系电话：13923100539</w:t>
      </w:r>
    </w:p>
    <w:p>
      <w:pPr>
        <w:pageBreakBefore w:val="0"/>
        <w:widowControl/>
        <w:numPr>
          <w:ilvl w:val="0"/>
          <w:numId w:val="10"/>
        </w:numPr>
        <w:kinsoku/>
        <w:wordWrap/>
        <w:overflowPunct/>
        <w:topLinePunct w:val="0"/>
        <w:autoSpaceDE/>
        <w:autoSpaceDN/>
        <w:bidi w:val="0"/>
        <w:adjustRightInd/>
        <w:snapToGrid/>
        <w:spacing w:line="360" w:lineRule="auto"/>
        <w:ind w:left="845" w:leftChars="0" w:right="0" w:hanging="425" w:firstLineChars="0"/>
        <w:jc w:val="left"/>
        <w:textAlignment w:val="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采购代理机构信息</w:t>
      </w:r>
    </w:p>
    <w:p>
      <w:pPr>
        <w:pageBreakBefore w:val="0"/>
        <w:widowControl/>
        <w:kinsoku/>
        <w:wordWrap/>
        <w:overflowPunct/>
        <w:topLinePunct w:val="0"/>
        <w:autoSpaceDE/>
        <w:autoSpaceDN/>
        <w:bidi w:val="0"/>
        <w:adjustRightInd w:val="0"/>
        <w:snapToGrid w:val="0"/>
        <w:spacing w:line="360" w:lineRule="auto"/>
        <w:ind w:left="-78" w:leftChars="-37" w:right="-73" w:firstLine="818" w:firstLineChars="341"/>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名称：</w:t>
      </w:r>
      <w:r>
        <w:rPr>
          <w:rFonts w:hint="eastAsia" w:ascii="宋体" w:hAnsi="宋体" w:eastAsia="宋体" w:cs="宋体"/>
          <w:color w:val="auto"/>
          <w:sz w:val="24"/>
          <w:szCs w:val="24"/>
          <w:highlight w:val="none"/>
          <w:lang w:eastAsia="zh-CN"/>
        </w:rPr>
        <w:t>广东杰信项目管理有限公司</w:t>
      </w:r>
      <w:r>
        <w:rPr>
          <w:rFonts w:hint="eastAsia" w:ascii="宋体" w:hAnsi="宋体" w:eastAsia="宋体" w:cs="宋体"/>
          <w:color w:val="auto"/>
          <w:sz w:val="24"/>
          <w:szCs w:val="24"/>
          <w:highlight w:val="none"/>
        </w:rPr>
        <w:t xml:space="preserve"> </w:t>
      </w:r>
    </w:p>
    <w:p>
      <w:pPr>
        <w:pageBreakBefore w:val="0"/>
        <w:widowControl/>
        <w:kinsoku/>
        <w:wordWrap/>
        <w:overflowPunct/>
        <w:topLinePunct w:val="0"/>
        <w:autoSpaceDE/>
        <w:autoSpaceDN/>
        <w:bidi w:val="0"/>
        <w:adjustRightInd w:val="0"/>
        <w:snapToGrid w:val="0"/>
        <w:spacing w:line="360" w:lineRule="auto"/>
        <w:ind w:left="-78" w:leftChars="-37" w:right="-73" w:firstLine="818" w:firstLineChars="341"/>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地址：</w:t>
      </w:r>
      <w:r>
        <w:rPr>
          <w:rFonts w:hint="eastAsia" w:ascii="宋体" w:hAnsi="宋体" w:eastAsia="宋体" w:cs="宋体"/>
          <w:color w:val="auto"/>
          <w:sz w:val="24"/>
          <w:szCs w:val="24"/>
          <w:highlight w:val="none"/>
          <w:lang w:val="zh-CN" w:eastAsia="zh-CN"/>
        </w:rPr>
        <w:t>佛山市三水区西南街道同福路10号区行政服务中心大院3号楼30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w:t>
      </w:r>
    </w:p>
    <w:p>
      <w:pPr>
        <w:pageBreakBefore w:val="0"/>
        <w:widowControl/>
        <w:kinsoku/>
        <w:wordWrap/>
        <w:overflowPunct/>
        <w:topLinePunct w:val="0"/>
        <w:autoSpaceDE/>
        <w:autoSpaceDN/>
        <w:bidi w:val="0"/>
        <w:adjustRightInd w:val="0"/>
        <w:snapToGrid w:val="0"/>
        <w:spacing w:line="360" w:lineRule="auto"/>
        <w:ind w:left="-78" w:leftChars="-37" w:right="-73" w:firstLine="818" w:firstLineChars="34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联系方式：</w:t>
      </w:r>
      <w:r>
        <w:rPr>
          <w:rFonts w:hint="eastAsia" w:ascii="宋体" w:hAnsi="宋体" w:eastAsia="宋体" w:cs="宋体"/>
          <w:color w:val="auto"/>
          <w:sz w:val="24"/>
          <w:szCs w:val="24"/>
          <w:highlight w:val="none"/>
          <w:lang w:eastAsia="zh-CN"/>
        </w:rPr>
        <w:t>0757-87761288</w:t>
      </w:r>
    </w:p>
    <w:p>
      <w:pPr>
        <w:pStyle w:val="51"/>
        <w:pageBreakBefore w:val="0"/>
        <w:kinsoku/>
        <w:wordWrap/>
        <w:overflowPunct/>
        <w:topLinePunct w:val="0"/>
        <w:autoSpaceDE/>
        <w:autoSpaceDN/>
        <w:bidi w:val="0"/>
        <w:spacing w:line="360" w:lineRule="auto"/>
        <w:ind w:left="-78" w:leftChars="-37" w:firstLine="818" w:firstLineChars="341"/>
        <w:jc w:val="left"/>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邮箱：gdjiexin2019@163.com</w:t>
      </w:r>
    </w:p>
    <w:p>
      <w:pPr>
        <w:pageBreakBefore w:val="0"/>
        <w:widowControl/>
        <w:numPr>
          <w:ilvl w:val="0"/>
          <w:numId w:val="10"/>
        </w:numPr>
        <w:kinsoku/>
        <w:wordWrap/>
        <w:overflowPunct/>
        <w:topLinePunct w:val="0"/>
        <w:autoSpaceDE/>
        <w:autoSpaceDN/>
        <w:bidi w:val="0"/>
        <w:adjustRightInd/>
        <w:snapToGrid/>
        <w:spacing w:line="360" w:lineRule="auto"/>
        <w:ind w:left="845" w:leftChars="0" w:right="0" w:hanging="425" w:firstLineChars="0"/>
        <w:jc w:val="left"/>
        <w:textAlignment w:val="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zh-CN"/>
        </w:rPr>
        <w:t>项目联系方式</w:t>
      </w:r>
    </w:p>
    <w:p>
      <w:pPr>
        <w:pageBreakBefore w:val="0"/>
        <w:widowControl/>
        <w:kinsoku/>
        <w:wordWrap/>
        <w:overflowPunct/>
        <w:topLinePunct w:val="0"/>
        <w:autoSpaceDE/>
        <w:autoSpaceDN/>
        <w:bidi w:val="0"/>
        <w:adjustRightInd w:val="0"/>
        <w:snapToGrid w:val="0"/>
        <w:spacing w:line="360" w:lineRule="auto"/>
        <w:ind w:left="-78" w:leftChars="0" w:right="-73" w:firstLine="818" w:firstLineChars="341"/>
        <w:jc w:val="left"/>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项目联系人</w:t>
      </w:r>
      <w:r>
        <w:rPr>
          <w:rFonts w:hint="eastAsia" w:ascii="宋体" w:hAnsi="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eastAsia="zh-CN"/>
        </w:rPr>
        <w:t>陈工</w:t>
      </w:r>
    </w:p>
    <w:p>
      <w:pPr>
        <w:pageBreakBefore w:val="0"/>
        <w:widowControl/>
        <w:kinsoku/>
        <w:wordWrap/>
        <w:overflowPunct/>
        <w:topLinePunct w:val="0"/>
        <w:autoSpaceDE/>
        <w:autoSpaceDN/>
        <w:bidi w:val="0"/>
        <w:adjustRightInd w:val="0"/>
        <w:snapToGrid w:val="0"/>
        <w:spacing w:line="360" w:lineRule="auto"/>
        <w:ind w:left="-78" w:leftChars="0" w:right="-73" w:firstLine="818" w:firstLineChars="34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电话：</w:t>
      </w:r>
      <w:r>
        <w:rPr>
          <w:rFonts w:hint="eastAsia" w:ascii="宋体" w:hAnsi="宋体" w:eastAsia="宋体" w:cs="宋体"/>
          <w:color w:val="auto"/>
          <w:sz w:val="24"/>
          <w:szCs w:val="24"/>
          <w:highlight w:val="none"/>
          <w:lang w:eastAsia="zh-CN"/>
        </w:rPr>
        <w:t>0757-87761288</w:t>
      </w:r>
    </w:p>
    <w:p>
      <w:pPr>
        <w:shd w:val="clear" w:color="auto" w:fill="auto"/>
        <w:adjustRightInd w:val="0"/>
        <w:snapToGrid w:val="0"/>
        <w:spacing w:line="360" w:lineRule="auto"/>
        <w:ind w:left="425" w:firstLine="720" w:firstLineChars="300"/>
        <w:jc w:val="right"/>
        <w:rPr>
          <w:rFonts w:hint="eastAsia" w:ascii="宋体" w:hAnsi="宋体" w:eastAsia="宋体" w:cs="宋体"/>
          <w:color w:val="auto"/>
          <w:sz w:val="24"/>
          <w:szCs w:val="24"/>
          <w:highlight w:val="none"/>
          <w:lang w:eastAsia="zh-CN"/>
        </w:rPr>
      </w:pPr>
    </w:p>
    <w:p>
      <w:pPr>
        <w:shd w:val="clear" w:color="auto" w:fill="auto"/>
        <w:adjustRightInd w:val="0"/>
        <w:snapToGrid w:val="0"/>
        <w:spacing w:line="360" w:lineRule="auto"/>
        <w:ind w:left="425" w:firstLine="720" w:firstLineChars="300"/>
        <w:jc w:val="right"/>
        <w:rPr>
          <w:rFonts w:hint="eastAsia" w:ascii="宋体" w:hAnsi="宋体" w:eastAsia="宋体" w:cs="宋体"/>
          <w:color w:val="auto"/>
          <w:sz w:val="24"/>
          <w:szCs w:val="24"/>
          <w:highlight w:val="none"/>
          <w:lang w:eastAsia="zh-CN"/>
        </w:rPr>
      </w:pPr>
    </w:p>
    <w:p>
      <w:pPr>
        <w:shd w:val="clear" w:color="auto" w:fill="auto"/>
        <w:adjustRightInd w:val="0"/>
        <w:snapToGrid w:val="0"/>
        <w:spacing w:line="360" w:lineRule="auto"/>
        <w:ind w:left="425" w:firstLine="720" w:firstLineChars="300"/>
        <w:jc w:val="righ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广东杰信项目管理有限公司</w:t>
      </w:r>
    </w:p>
    <w:p>
      <w:pPr>
        <w:shd w:val="clear" w:color="auto" w:fill="auto"/>
        <w:adjustRightInd w:val="0"/>
        <w:snapToGrid w:val="0"/>
        <w:spacing w:line="360" w:lineRule="auto"/>
        <w:jc w:val="righ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202</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日</w:t>
      </w:r>
    </w:p>
    <w:p>
      <w:pPr>
        <w:numPr>
          <w:ilvl w:val="0"/>
          <w:numId w:val="11"/>
        </w:numPr>
        <w:shd w:val="clear" w:color="auto" w:fill="auto"/>
        <w:spacing w:line="360" w:lineRule="auto"/>
        <w:jc w:val="center"/>
        <w:outlineLvl w:val="0"/>
        <w:rPr>
          <w:rFonts w:hint="eastAsia" w:ascii="宋体" w:hAnsi="宋体" w:eastAsia="宋体" w:cs="宋体"/>
          <w:b/>
          <w:color w:val="auto"/>
          <w:kern w:val="0"/>
          <w:sz w:val="36"/>
          <w:szCs w:val="36"/>
          <w:highlight w:val="none"/>
        </w:rPr>
      </w:pPr>
      <w:bookmarkStart w:id="3" w:name="_Toc15465"/>
      <w:r>
        <w:rPr>
          <w:rFonts w:hint="eastAsia" w:ascii="宋体" w:hAnsi="宋体" w:eastAsia="宋体" w:cs="宋体"/>
          <w:b/>
          <w:color w:val="auto"/>
          <w:kern w:val="0"/>
          <w:sz w:val="24"/>
          <w:szCs w:val="24"/>
          <w:highlight w:val="none"/>
        </w:rPr>
        <w:br w:type="page"/>
      </w:r>
      <w:r>
        <w:rPr>
          <w:rFonts w:hint="eastAsia" w:ascii="宋体" w:hAnsi="宋体" w:eastAsia="宋体" w:cs="宋体"/>
          <w:b/>
          <w:color w:val="auto"/>
          <w:kern w:val="0"/>
          <w:sz w:val="36"/>
          <w:szCs w:val="36"/>
          <w:highlight w:val="none"/>
        </w:rPr>
        <w:t xml:space="preserve"> </w:t>
      </w:r>
      <w:bookmarkEnd w:id="3"/>
      <w:bookmarkStart w:id="4" w:name="_Toc5807"/>
      <w:bookmarkStart w:id="5" w:name="_Toc30952"/>
      <w:r>
        <w:rPr>
          <w:rFonts w:hint="eastAsia" w:ascii="宋体" w:hAnsi="宋体" w:eastAsia="宋体" w:cs="宋体"/>
          <w:b/>
          <w:color w:val="auto"/>
          <w:kern w:val="0"/>
          <w:sz w:val="36"/>
          <w:szCs w:val="36"/>
          <w:highlight w:val="none"/>
          <w:lang w:eastAsia="zh-CN"/>
        </w:rPr>
        <w:t>采购需求</w:t>
      </w:r>
      <w:bookmarkEnd w:id="4"/>
      <w:bookmarkEnd w:id="5"/>
    </w:p>
    <w:p>
      <w:pPr>
        <w:pStyle w:val="27"/>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w:t>
      </w:r>
    </w:p>
    <w:p>
      <w:pPr>
        <w:pStyle w:val="27"/>
        <w:numPr>
          <w:ilvl w:val="0"/>
          <w:numId w:val="12"/>
        </w:numPr>
        <w:adjustRightInd w:val="0"/>
        <w:snapToGrid w:val="0"/>
        <w:spacing w:line="360" w:lineRule="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lang w:eastAsia="zh-CN"/>
        </w:rPr>
        <w:t>采购需求</w:t>
      </w:r>
      <w:r>
        <w:rPr>
          <w:rFonts w:hint="eastAsia" w:ascii="宋体" w:hAnsi="宋体" w:eastAsia="宋体" w:cs="宋体"/>
          <w:b/>
          <w:bCs/>
          <w:color w:val="auto"/>
          <w:sz w:val="24"/>
          <w:szCs w:val="22"/>
          <w:highlight w:val="none"/>
        </w:rPr>
        <w:t>中打“★”号条款为实质性条款，若有任何一条负偏离或不满足则导致投标（响应）无效。</w:t>
      </w:r>
    </w:p>
    <w:p>
      <w:pPr>
        <w:pStyle w:val="27"/>
        <w:numPr>
          <w:ilvl w:val="0"/>
          <w:numId w:val="12"/>
        </w:numPr>
        <w:adjustRightInd w:val="0"/>
        <w:snapToGrid w:val="0"/>
        <w:spacing w:line="360" w:lineRule="auto"/>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sz w:val="24"/>
          <w:szCs w:val="22"/>
          <w:highlight w:val="none"/>
        </w:rPr>
        <w:t>打“▲”号条款为重要技术参数（如有），若有部分“▲”条款未响应或不满足，将根据评审要求影响其得分，但不作为无效投标（响应）条款。</w:t>
      </w:r>
    </w:p>
    <w:p>
      <w:pPr>
        <w:rPr>
          <w:rFonts w:hint="eastAsia" w:ascii="宋体" w:hAnsi="宋体" w:cs="宋体"/>
          <w:b/>
          <w:bCs/>
          <w:color w:val="auto"/>
          <w:kern w:val="2"/>
          <w:sz w:val="28"/>
          <w:szCs w:val="28"/>
          <w:highlight w:val="none"/>
          <w:lang w:val="en-US" w:eastAsia="zh-CN"/>
        </w:rPr>
      </w:pPr>
      <w:bookmarkStart w:id="6" w:name="_Toc802"/>
    </w:p>
    <w:p>
      <w:pPr>
        <w:pStyle w:val="26"/>
        <w:spacing w:line="360" w:lineRule="auto"/>
        <w:rPr>
          <w:rFonts w:hint="eastAsia" w:hAnsi="宋体" w:eastAsia="宋体" w:cs="宋体"/>
          <w:b/>
          <w:bCs/>
          <w:color w:val="auto"/>
          <w:sz w:val="28"/>
          <w:szCs w:val="28"/>
          <w:highlight w:val="none"/>
          <w:lang w:val="en-US" w:eastAsia="zh-CN"/>
        </w:rPr>
      </w:pPr>
      <w:r>
        <w:rPr>
          <w:rFonts w:hint="eastAsia" w:hAnsi="宋体" w:cs="宋体"/>
          <w:b/>
          <w:bCs/>
          <w:color w:val="auto"/>
          <w:kern w:val="2"/>
          <w:sz w:val="28"/>
          <w:szCs w:val="28"/>
          <w:highlight w:val="none"/>
          <w:lang w:val="en-US" w:eastAsia="zh-CN"/>
        </w:rPr>
        <w:t>采购包1</w:t>
      </w:r>
      <w:r>
        <w:rPr>
          <w:rFonts w:hint="eastAsia" w:ascii="宋体" w:hAnsi="宋体" w:cs="宋体"/>
          <w:b/>
          <w:bCs/>
          <w:color w:val="auto"/>
          <w:kern w:val="2"/>
          <w:sz w:val="28"/>
          <w:szCs w:val="28"/>
          <w:highlight w:val="none"/>
          <w:lang w:val="en-US" w:eastAsia="zh-CN"/>
        </w:rPr>
        <w:t>（</w:t>
      </w:r>
      <w:r>
        <w:rPr>
          <w:rFonts w:hint="eastAsia" w:ascii="宋体" w:hAnsi="宋体" w:cs="宋体"/>
          <w:b/>
          <w:bCs/>
          <w:color w:val="auto"/>
          <w:kern w:val="2"/>
          <w:sz w:val="28"/>
          <w:szCs w:val="28"/>
          <w:highlight w:val="none"/>
          <w:lang w:eastAsia="zh-CN"/>
        </w:rPr>
        <w:t>佛山市三水区国睿再生资源回收有限公司国睿公司冷库托盘采购</w:t>
      </w:r>
      <w:r>
        <w:rPr>
          <w:rFonts w:hint="eastAsia" w:ascii="宋体" w:hAnsi="宋体" w:cs="宋体"/>
          <w:b/>
          <w:bCs/>
          <w:color w:val="auto"/>
          <w:kern w:val="2"/>
          <w:sz w:val="28"/>
          <w:szCs w:val="28"/>
          <w:highlight w:val="none"/>
          <w:lang w:val="en-US" w:eastAsia="zh-CN"/>
        </w:rPr>
        <w:t>）：</w:t>
      </w:r>
    </w:p>
    <w:p>
      <w:pPr>
        <w:pStyle w:val="251"/>
        <w:numPr>
          <w:ilvl w:val="0"/>
          <w:numId w:val="13"/>
        </w:numPr>
        <w:shd w:val="clear" w:color="auto" w:fill="auto"/>
        <w:spacing w:line="360" w:lineRule="auto"/>
        <w:ind w:left="0" w:leftChars="0" w:firstLine="0" w:firstLineChars="0"/>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项目概况</w:t>
      </w:r>
    </w:p>
    <w:p>
      <w:pPr>
        <w:pStyle w:val="48"/>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eastAsia="宋体" w:cs="宋体"/>
          <w:color w:val="auto"/>
          <w:kern w:val="2"/>
          <w:sz w:val="24"/>
          <w:szCs w:val="32"/>
          <w:highlight w:val="none"/>
          <w:lang w:val="en-US" w:eastAsia="zh-CN" w:bidi="ar-SA"/>
        </w:rPr>
      </w:pPr>
      <w:r>
        <w:rPr>
          <w:rFonts w:hint="eastAsia" w:cs="宋体"/>
          <w:color w:val="auto"/>
          <w:kern w:val="2"/>
          <w:sz w:val="24"/>
          <w:szCs w:val="32"/>
          <w:highlight w:val="none"/>
          <w:lang w:val="en-US" w:eastAsia="zh-CN"/>
        </w:rPr>
        <w:t>完成国睿冷库1万个塑料托盘投入，配合冷库智能化系统、双深货架，实现货物智能化管理。</w:t>
      </w:r>
    </w:p>
    <w:p>
      <w:pPr>
        <w:pStyle w:val="251"/>
        <w:numPr>
          <w:ilvl w:val="0"/>
          <w:numId w:val="13"/>
        </w:numPr>
        <w:shd w:val="clear" w:color="auto" w:fill="auto"/>
        <w:spacing w:line="360" w:lineRule="auto"/>
        <w:ind w:left="0" w:leftChars="0" w:firstLine="0" w:firstLineChars="0"/>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技术标准与要求</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kern w:val="0"/>
          <w:sz w:val="24"/>
          <w:szCs w:val="24"/>
          <w:lang w:val="en-US" w:eastAsia="zh-CN"/>
        </w:rPr>
      </w:pPr>
      <w:r>
        <w:rPr>
          <w:rFonts w:hint="eastAsia" w:ascii="宋体" w:hAnsi="宋体" w:eastAsia="宋体" w:cs="宋体"/>
          <w:b/>
          <w:bCs/>
          <w:color w:val="auto"/>
          <w:sz w:val="24"/>
          <w:highlight w:val="none"/>
          <w:lang w:val="en-US" w:eastAsia="zh-CN"/>
        </w:rPr>
        <w:t>材料</w:t>
      </w:r>
      <w:r>
        <w:rPr>
          <w:rFonts w:hint="eastAsia" w:ascii="宋体" w:hAnsi="宋体" w:cs="宋体"/>
          <w:b/>
          <w:bCs/>
          <w:color w:val="auto"/>
          <w:sz w:val="24"/>
          <w:highlight w:val="none"/>
          <w:lang w:val="en-US" w:eastAsia="zh-CN"/>
        </w:rPr>
        <w:t>要求</w:t>
      </w:r>
    </w:p>
    <w:p>
      <w:pPr>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firstLine="420"/>
        <w:jc w:val="left"/>
        <w:textAlignment w:val="auto"/>
        <w:rPr>
          <w:rFonts w:hint="eastAsia" w:ascii="宋体" w:hAnsi="宋体" w:eastAsia="宋体" w:cs="宋体"/>
          <w:b/>
          <w:bCs/>
          <w:kern w:val="0"/>
          <w:sz w:val="24"/>
          <w:szCs w:val="24"/>
          <w:lang w:val="en-US" w:eastAsia="zh-CN"/>
        </w:rPr>
      </w:pPr>
      <w:r>
        <w:rPr>
          <w:rFonts w:hint="eastAsia" w:ascii="宋体" w:hAnsi="宋体" w:eastAsia="宋体" w:cs="宋体"/>
          <w:color w:val="000000"/>
          <w:sz w:val="24"/>
          <w:lang w:val="en-US" w:eastAsia="zh-CN"/>
        </w:rPr>
        <w:t>采用全新聚丙烯（PP）为主材料，无毒无害、不吸水、防潮防霉、耐腐蚀、无钉无刺安全卫生，采用一体成型工艺。</w:t>
      </w:r>
    </w:p>
    <w:p>
      <w:pPr>
        <w:keepNext w:val="0"/>
        <w:keepLines w:val="0"/>
        <w:pageBreakBefore w:val="0"/>
        <w:numPr>
          <w:ilvl w:val="0"/>
          <w:numId w:val="14"/>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highlight w:val="none"/>
          <w:lang w:val="en-US" w:eastAsia="zh-CN"/>
        </w:rPr>
        <w:t>强度配置</w:t>
      </w:r>
    </w:p>
    <w:p>
      <w:pPr>
        <w:keepNext w:val="0"/>
        <w:keepLines w:val="0"/>
        <w:pageBreakBefore w:val="0"/>
        <w:numPr>
          <w:ilvl w:val="-1"/>
          <w:numId w:val="0"/>
        </w:numPr>
        <w:shd w:val="clear" w:color="auto" w:fill="auto"/>
        <w:kinsoku/>
        <w:wordWrap/>
        <w:overflowPunct/>
        <w:topLinePunct w:val="0"/>
        <w:bidi w:val="0"/>
        <w:snapToGrid/>
        <w:spacing w:line="360" w:lineRule="auto"/>
        <w:ind w:left="0" w:leftChars="0" w:firstLine="42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sz w:val="24"/>
          <w:szCs w:val="32"/>
          <w:lang w:val="en-US" w:eastAsia="zh-CN"/>
        </w:rPr>
        <w:t>托盘放有10条钢管，保证有足够的强度，满足叉车、货叉及穿梭车的叉取及运输要求，同时满足托盘在链条输送机、货叉及货架上的放置要求。</w:t>
      </w:r>
    </w:p>
    <w:p>
      <w:pPr>
        <w:keepNext w:val="0"/>
        <w:keepLines w:val="0"/>
        <w:pageBreakBefore w:val="0"/>
        <w:numPr>
          <w:ilvl w:val="0"/>
          <w:numId w:val="14"/>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highlight w:val="none"/>
          <w:lang w:val="en-US" w:eastAsia="zh-CN"/>
        </w:rPr>
        <w:t>技术参数</w:t>
      </w:r>
    </w:p>
    <w:p>
      <w:pPr>
        <w:keepNext w:val="0"/>
        <w:keepLines w:val="0"/>
        <w:pageBreakBefore w:val="0"/>
        <w:numPr>
          <w:ilvl w:val="-1"/>
          <w:numId w:val="0"/>
        </w:numPr>
        <w:shd w:val="clear" w:color="auto" w:fill="auto"/>
        <w:kinsoku/>
        <w:wordWrap/>
        <w:overflowPunct/>
        <w:topLinePunct w:val="0"/>
        <w:bidi w:val="0"/>
        <w:snapToGrid/>
        <w:spacing w:line="360" w:lineRule="auto"/>
        <w:ind w:left="0" w:leftChars="0" w:firstLine="420"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托盘尺寸1200mm×1000mm×150m，总重20 ±0.5 KG，荷载动载1.5 吨，静载6 吨，货架载1 吨。钢管加强内置10 根钢管，</w:t>
      </w:r>
      <w:r>
        <w:rPr>
          <w:rFonts w:hint="eastAsia" w:ascii="宋体" w:hAnsi="宋体" w:eastAsia="宋体" w:cs="宋体"/>
          <w:sz w:val="24"/>
          <w:szCs w:val="32"/>
          <w:highlight w:val="none"/>
          <w:lang w:val="en-US" w:eastAsia="zh-CN"/>
        </w:rPr>
        <w:t>钢管型号Q235，</w:t>
      </w:r>
      <w:r>
        <w:rPr>
          <w:rFonts w:hint="eastAsia" w:ascii="宋体" w:hAnsi="宋体" w:eastAsia="宋体" w:cs="宋体"/>
          <w:sz w:val="24"/>
          <w:szCs w:val="32"/>
          <w:lang w:val="en-US" w:eastAsia="zh-CN"/>
        </w:rPr>
        <w:t>双面热镀锌。</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6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pPr>
              <w:spacing w:line="360" w:lineRule="auto"/>
              <w:jc w:val="center"/>
              <w:rPr>
                <w:rFonts w:hint="eastAsia" w:ascii="宋体" w:hAnsi="宋体" w:eastAsia="宋体" w:cs="宋体"/>
                <w:sz w:val="24"/>
                <w:szCs w:val="24"/>
                <w:vertAlign w:val="baseline"/>
                <w:lang w:val="en-US" w:eastAsia="zh-CN"/>
              </w:rPr>
            </w:pPr>
            <w:r>
              <w:rPr>
                <w:rFonts w:hint="eastAsia" w:eastAsia="宋体"/>
                <w:b/>
                <w:bCs/>
                <w:sz w:val="24"/>
                <w:szCs w:val="24"/>
                <w:lang w:val="en-US" w:eastAsia="zh-CN"/>
              </w:rPr>
              <w:t>技术规格及需求一览表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产品名称</w:t>
            </w:r>
          </w:p>
        </w:tc>
        <w:tc>
          <w:tcPr>
            <w:tcW w:w="6533" w:type="dxa"/>
            <w:vAlign w:val="top"/>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网格川字型托盘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数量</w:t>
            </w:r>
          </w:p>
        </w:tc>
        <w:tc>
          <w:tcPr>
            <w:tcW w:w="6533" w:type="dxa"/>
            <w:vAlign w:val="top"/>
          </w:tcPr>
          <w:p>
            <w:pPr>
              <w:spacing w:line="360" w:lineRule="auto"/>
              <w:jc w:val="left"/>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10000件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尺寸</w:t>
            </w:r>
          </w:p>
        </w:tc>
        <w:tc>
          <w:tcPr>
            <w:tcW w:w="6533" w:type="dxa"/>
            <w:vAlign w:val="top"/>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1200mm*1000mm*150mm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Merge w:val="restart"/>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产品示意图</w:t>
            </w:r>
          </w:p>
        </w:tc>
        <w:tc>
          <w:tcPr>
            <w:tcW w:w="6533" w:type="dxa"/>
            <w:vAlign w:val="top"/>
          </w:tcPr>
          <w:p>
            <w:pPr>
              <w:spacing w:line="360" w:lineRule="auto"/>
              <w:jc w:val="center"/>
              <w:rPr>
                <w:rFonts w:hint="eastAsia" w:ascii="宋体" w:hAnsi="宋体" w:eastAsia="宋体" w:cs="宋体"/>
                <w:sz w:val="24"/>
                <w:szCs w:val="24"/>
                <w:vertAlign w:val="baseline"/>
                <w:lang w:val="en-US" w:eastAsia="zh-CN"/>
              </w:rPr>
            </w:pPr>
            <w:r>
              <w:rPr>
                <w:position w:val="-94"/>
              </w:rPr>
              <w:drawing>
                <wp:inline distT="0" distB="0" distL="0" distR="0">
                  <wp:extent cx="3784600" cy="3289935"/>
                  <wp:effectExtent l="0" t="0" r="10160" b="1905"/>
                  <wp:docPr id="20" name="IM 2"/>
                  <wp:cNvGraphicFramePr/>
                  <a:graphic xmlns:a="http://schemas.openxmlformats.org/drawingml/2006/main">
                    <a:graphicData uri="http://schemas.openxmlformats.org/drawingml/2006/picture">
                      <pic:pic xmlns:pic="http://schemas.openxmlformats.org/drawingml/2006/picture">
                        <pic:nvPicPr>
                          <pic:cNvPr id="20" name="IM 2"/>
                          <pic:cNvPicPr/>
                        </pic:nvPicPr>
                        <pic:blipFill>
                          <a:blip r:embed="rId8"/>
                          <a:stretch>
                            <a:fillRect/>
                          </a:stretch>
                        </pic:blipFill>
                        <pic:spPr>
                          <a:xfrm>
                            <a:off x="0" y="0"/>
                            <a:ext cx="3784600" cy="3289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4" w:hRule="atLeast"/>
          <w:jc w:val="center"/>
        </w:trPr>
        <w:tc>
          <w:tcPr>
            <w:tcW w:w="1989" w:type="dxa"/>
            <w:vMerge w:val="continue"/>
            <w:vAlign w:val="center"/>
          </w:tcPr>
          <w:p>
            <w:pPr>
              <w:spacing w:line="360" w:lineRule="auto"/>
              <w:jc w:val="center"/>
              <w:rPr>
                <w:rFonts w:hint="eastAsia" w:ascii="宋体" w:hAnsi="宋体" w:eastAsia="宋体" w:cs="宋体"/>
                <w:b/>
                <w:bCs/>
                <w:sz w:val="24"/>
                <w:szCs w:val="24"/>
                <w:vertAlign w:val="baseline"/>
                <w:lang w:val="en-US" w:eastAsia="zh-CN"/>
              </w:rPr>
            </w:pPr>
          </w:p>
        </w:tc>
        <w:tc>
          <w:tcPr>
            <w:tcW w:w="6533" w:type="dxa"/>
            <w:vAlign w:val="center"/>
          </w:tcPr>
          <w:p>
            <w:pPr>
              <w:spacing w:line="360" w:lineRule="auto"/>
              <w:jc w:val="center"/>
              <w:rPr>
                <w:rFonts w:hint="eastAsia"/>
              </w:rPr>
            </w:pPr>
            <w:r>
              <w:rPr>
                <w:position w:val="-211"/>
              </w:rPr>
              <w:drawing>
                <wp:inline distT="0" distB="0" distL="0" distR="0">
                  <wp:extent cx="2997200" cy="3493770"/>
                  <wp:effectExtent l="0" t="0" r="5080" b="1143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997200" cy="349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4" w:hRule="atLeast"/>
          <w:jc w:val="center"/>
        </w:trPr>
        <w:tc>
          <w:tcPr>
            <w:tcW w:w="1989" w:type="dxa"/>
            <w:vMerge w:val="continue"/>
            <w:vAlign w:val="center"/>
          </w:tcPr>
          <w:p>
            <w:pPr>
              <w:spacing w:line="360" w:lineRule="auto"/>
              <w:jc w:val="center"/>
              <w:rPr>
                <w:rFonts w:hint="eastAsia" w:ascii="宋体" w:hAnsi="宋体" w:eastAsia="宋体" w:cs="宋体"/>
                <w:b/>
                <w:bCs/>
                <w:sz w:val="24"/>
                <w:szCs w:val="24"/>
                <w:vertAlign w:val="baseline"/>
                <w:lang w:val="en-US" w:eastAsia="zh-CN"/>
              </w:rPr>
            </w:pPr>
          </w:p>
        </w:tc>
        <w:tc>
          <w:tcPr>
            <w:tcW w:w="6533" w:type="dxa"/>
            <w:vAlign w:val="center"/>
          </w:tcPr>
          <w:p>
            <w:pPr>
              <w:spacing w:line="360" w:lineRule="auto"/>
              <w:jc w:val="center"/>
            </w:pPr>
            <w:r>
              <w:drawing>
                <wp:inline distT="0" distB="0" distL="0" distR="0">
                  <wp:extent cx="2787015" cy="3072765"/>
                  <wp:effectExtent l="0" t="0" r="1905" b="5715"/>
                  <wp:docPr id="21" name="IM 8"/>
                  <wp:cNvGraphicFramePr/>
                  <a:graphic xmlns:a="http://schemas.openxmlformats.org/drawingml/2006/main">
                    <a:graphicData uri="http://schemas.openxmlformats.org/drawingml/2006/picture">
                      <pic:pic xmlns:pic="http://schemas.openxmlformats.org/drawingml/2006/picture">
                        <pic:nvPicPr>
                          <pic:cNvPr id="21" name="IM 8"/>
                          <pic:cNvPicPr/>
                        </pic:nvPicPr>
                        <pic:blipFill>
                          <a:blip r:embed="rId10"/>
                          <a:stretch>
                            <a:fillRect/>
                          </a:stretch>
                        </pic:blipFill>
                        <pic:spPr>
                          <a:xfrm>
                            <a:off x="0" y="0"/>
                            <a:ext cx="2787015" cy="3072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重量</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托盘总重 20 ±0.5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荷载</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动载 1.5 吨，静载 6 吨，货架载 1 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搬运工具</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叉车、立体库堆垛机、链条输送机、四向穿梭车等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钢管加强</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内置 10 根钢管，钢管型号 Q235，双面热镀锌。 面上内置 4 条镀锌钢管，尺寸：12.5mm×25.5mm×940mm，底部内置 6 条镀锌钢管,尺寸：12.5mm×25.5mm×1140mm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产品材料</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全新聚乙烯（HDPE）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加工工艺</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一次注塑成型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颜色</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中标人须按采购人要求定色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防滑性能加强</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产品上有防滑要求的部位应安装上防滑块，提高产品使用安全。托盘防滑点共 22 处，面部 8 处、底部 14 处；底部支腿处 6 颗防滑垫，入叉叉爪位置 8 颗，避免托盘在使用过程中出现滑落现象。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RFID 芯片放置</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托盘底部增加 RFID 芯片槽，芯片槽规格：80mm*25mm*5mm（长*宽*深）。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托盘标记方式</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托盘上设有生产厂家的标记，标注生产日期；托盘上可打上永久 logo 标记，根据采购人要求制作。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使用环境</w:t>
            </w:r>
          </w:p>
        </w:tc>
        <w:tc>
          <w:tcPr>
            <w:tcW w:w="6533" w:type="dxa"/>
            <w:vAlign w:val="center"/>
          </w:tcPr>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产品适用性能</w:t>
            </w:r>
          </w:p>
        </w:tc>
        <w:tc>
          <w:tcPr>
            <w:tcW w:w="6533" w:type="dxa"/>
            <w:vAlign w:val="center"/>
          </w:tcPr>
          <w:p>
            <w:pPr>
              <w:numPr>
                <w:ilvl w:val="0"/>
                <w:numId w:val="15"/>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适用平地、空间搬运，适合在仓库库中使用；</w:t>
            </w:r>
          </w:p>
          <w:p>
            <w:pPr>
              <w:numPr>
                <w:ilvl w:val="0"/>
                <w:numId w:val="15"/>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底部平整平面加强，增加托盘静载能力，适合用于立体库等机械化使用；四角增加防撞筋，优化托盘的角跌落性能；</w:t>
            </w:r>
          </w:p>
          <w:p>
            <w:pPr>
              <w:numPr>
                <w:ilvl w:val="0"/>
                <w:numId w:val="15"/>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四向进叉设计，使用方便，适应于叉车空间搬运；</w:t>
            </w:r>
          </w:p>
          <w:p>
            <w:pPr>
              <w:numPr>
                <w:ilvl w:val="0"/>
                <w:numId w:val="15"/>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川字网格托盘应具有防潮、防霉、无钉、无刺、无害虫、不掉屑、可回收利用，安全卫生等；</w:t>
            </w:r>
          </w:p>
          <w:p>
            <w:pPr>
              <w:numPr>
                <w:ilvl w:val="0"/>
                <w:numId w:val="15"/>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托盘反面九个脚位置为平面，且有防滑垫和防滑纹；</w:t>
            </w:r>
          </w:p>
          <w:p>
            <w:pPr>
              <w:numPr>
                <w:ilvl w:val="0"/>
                <w:numId w:val="15"/>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托盘承载面除 4 个角外全部为“T ”型筋结构（单筋宽</w:t>
            </w:r>
          </w:p>
          <w:p>
            <w:pPr>
              <w:numPr>
                <w:ilvl w:val="0"/>
                <w:numId w:val="0"/>
              </w:numPr>
              <w:spacing w:line="360" w:lineRule="auto"/>
              <w:ind w:left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度≥5mm）。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vAlign w:val="center"/>
          </w:tcPr>
          <w:p>
            <w:pPr>
              <w:spacing w:line="360" w:lineRule="auto"/>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其他要求</w:t>
            </w:r>
          </w:p>
        </w:tc>
        <w:tc>
          <w:tcPr>
            <w:tcW w:w="6533" w:type="dxa"/>
            <w:vAlign w:val="center"/>
          </w:tcPr>
          <w:p>
            <w:pPr>
              <w:numPr>
                <w:ilvl w:val="0"/>
                <w:numId w:val="16"/>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外观要求：托盘表面无飞边、毛刺、无影响使用的裂纹和变形。</w:t>
            </w:r>
          </w:p>
          <w:p>
            <w:pPr>
              <w:numPr>
                <w:ilvl w:val="0"/>
                <w:numId w:val="16"/>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颜色要求：单片托盘无明显色差，同一批托盘色泽基本保持一致。</w:t>
            </w:r>
          </w:p>
          <w:p>
            <w:pPr>
              <w:numPr>
                <w:ilvl w:val="0"/>
                <w:numId w:val="16"/>
              </w:numPr>
              <w:spacing w:line="360" w:lineRule="auto"/>
              <w:ind w:left="425" w:leftChars="0" w:hanging="425"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托盘检验标准：参照国家标准《GB/T 15234-1994 塑料平托盘》</w:t>
            </w:r>
          </w:p>
        </w:tc>
      </w:tr>
    </w:tbl>
    <w:p>
      <w:pPr>
        <w:pStyle w:val="71"/>
        <w:rPr>
          <w:rFonts w:hint="eastAsia"/>
        </w:rPr>
      </w:pPr>
    </w:p>
    <w:p>
      <w:pPr>
        <w:pStyle w:val="71"/>
        <w:rPr>
          <w:rFonts w:hint="eastAsia"/>
        </w:rPr>
      </w:pPr>
    </w:p>
    <w:p>
      <w:pPr>
        <w:keepNext w:val="0"/>
        <w:keepLines w:val="0"/>
        <w:pageBreakBefore w:val="0"/>
        <w:numPr>
          <w:ilvl w:val="0"/>
          <w:numId w:val="14"/>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供货要求 </w:t>
      </w:r>
    </w:p>
    <w:p>
      <w:pPr>
        <w:keepNext w:val="0"/>
        <w:keepLines w:val="0"/>
        <w:pageBreakBefore w:val="0"/>
        <w:numPr>
          <w:ilvl w:val="0"/>
          <w:numId w:val="0"/>
        </w:numPr>
        <w:shd w:val="clear" w:color="auto" w:fill="auto"/>
        <w:kinsoku/>
        <w:wordWrap/>
        <w:overflowPunct/>
        <w:topLinePunct w:val="0"/>
        <w:bidi w:val="0"/>
        <w:snapToGrid/>
        <w:spacing w:line="360" w:lineRule="auto"/>
        <w:ind w:leftChars="0" w:firstLine="472" w:firstLineChars="200"/>
        <w:textAlignment w:val="auto"/>
        <w:rPr>
          <w:rFonts w:hint="eastAsia" w:ascii="宋体" w:hAnsi="宋体" w:cs="宋体"/>
          <w:color w:val="auto"/>
          <w:spacing w:val="-2"/>
          <w:sz w:val="24"/>
          <w:szCs w:val="24"/>
          <w:highlight w:val="none"/>
          <w:lang w:eastAsia="zh-CN"/>
        </w:rPr>
      </w:pPr>
      <w:r>
        <w:rPr>
          <w:rFonts w:hint="eastAsia" w:ascii="宋体" w:hAnsi="宋体" w:cs="宋体"/>
          <w:color w:val="auto"/>
          <w:spacing w:val="-2"/>
          <w:sz w:val="24"/>
          <w:szCs w:val="24"/>
          <w:highlight w:val="none"/>
          <w:lang w:val="en-US" w:eastAsia="zh-CN"/>
        </w:rPr>
        <w:t>采购人使用中标人中标的货物、技术、资料、服务或其他任何一部分时，享有无偿使用权。免受第三方提出的侵犯其专利权、著作权、商标权或其它知识产权的起诉。如果第三方提出侵权指控，中标人应承担由此而引起的一切法律责任和费用。</w:t>
      </w:r>
    </w:p>
    <w:p>
      <w:pPr>
        <w:pStyle w:val="14"/>
        <w:rPr>
          <w:rFonts w:hint="eastAsia"/>
          <w:lang w:val="en-US" w:eastAsia="zh-CN"/>
        </w:rPr>
      </w:pPr>
    </w:p>
    <w:p>
      <w:pPr>
        <w:rPr>
          <w:rFonts w:hint="eastAsia"/>
          <w:lang w:val="en-US" w:eastAsia="zh-CN"/>
        </w:rPr>
      </w:pPr>
    </w:p>
    <w:p>
      <w:pPr>
        <w:pStyle w:val="251"/>
        <w:keepNext w:val="0"/>
        <w:keepLines w:val="0"/>
        <w:pageBreakBefore w:val="0"/>
        <w:numPr>
          <w:ilvl w:val="0"/>
          <w:numId w:val="13"/>
        </w:numPr>
        <w:shd w:val="clear" w:color="auto" w:fill="auto"/>
        <w:kinsoku/>
        <w:wordWrap/>
        <w:overflowPunct/>
        <w:topLinePunct w:val="0"/>
        <w:bidi w:val="0"/>
        <w:snapToGrid/>
        <w:spacing w:line="360" w:lineRule="auto"/>
        <w:ind w:left="0" w:leftChars="0" w:firstLine="0" w:firstLineChars="0"/>
        <w:jc w:val="both"/>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主要商务要求</w:t>
      </w:r>
    </w:p>
    <w:p>
      <w:pPr>
        <w:keepNext w:val="0"/>
        <w:keepLines w:val="0"/>
        <w:pageBreakBefore w:val="0"/>
        <w:numPr>
          <w:ilvl w:val="0"/>
          <w:numId w:val="17"/>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交货期</w:t>
      </w:r>
    </w:p>
    <w:p>
      <w:pPr>
        <w:keepNext w:val="0"/>
        <w:keepLines w:val="0"/>
        <w:pageBreakBefore w:val="0"/>
        <w:numPr>
          <w:ilvl w:val="0"/>
          <w:numId w:val="0"/>
        </w:numPr>
        <w:shd w:val="clear" w:color="auto" w:fill="auto"/>
        <w:kinsoku/>
        <w:wordWrap/>
        <w:overflowPunct/>
        <w:topLinePunct w:val="0"/>
        <w:bidi w:val="0"/>
        <w:snapToGrid/>
        <w:spacing w:line="360" w:lineRule="auto"/>
        <w:ind w:leftChars="0" w:firstLine="472" w:firstLineChars="200"/>
        <w:textAlignment w:val="auto"/>
        <w:rPr>
          <w:rFonts w:hint="default" w:ascii="宋体" w:hAnsi="宋体" w:eastAsia="宋体" w:cs="宋体"/>
          <w:color w:val="auto"/>
          <w:kern w:val="0"/>
          <w:sz w:val="24"/>
          <w:highlight w:val="none"/>
          <w:lang w:val="en-US" w:eastAsia="zh-CN" w:bidi="ar"/>
        </w:rPr>
      </w:pPr>
      <w:r>
        <w:rPr>
          <w:rFonts w:hint="eastAsia" w:ascii="宋体" w:hAnsi="宋体" w:cs="宋体"/>
          <w:color w:val="auto"/>
          <w:spacing w:val="-2"/>
          <w:sz w:val="24"/>
          <w:szCs w:val="24"/>
          <w:highlight w:val="none"/>
          <w:lang w:eastAsia="zh-CN"/>
        </w:rPr>
        <w:t>自合同签订之日起25天</w:t>
      </w:r>
      <w:r>
        <w:rPr>
          <w:rFonts w:hint="eastAsia" w:ascii="宋体" w:hAnsi="宋体" w:cs="宋体"/>
          <w:color w:val="auto"/>
          <w:spacing w:val="-2"/>
          <w:sz w:val="24"/>
          <w:szCs w:val="24"/>
          <w:highlight w:val="none"/>
          <w:lang w:val="en-US" w:eastAsia="zh-CN"/>
        </w:rPr>
        <w:t>内完成</w:t>
      </w:r>
      <w:r>
        <w:rPr>
          <w:rFonts w:hint="eastAsia" w:ascii="宋体" w:hAnsi="宋体" w:cs="宋体"/>
          <w:color w:val="auto"/>
          <w:spacing w:val="-2"/>
          <w:sz w:val="24"/>
          <w:szCs w:val="24"/>
          <w:highlight w:val="none"/>
          <w:lang w:eastAsia="zh-CN"/>
        </w:rPr>
        <w:t>交付</w:t>
      </w:r>
      <w:r>
        <w:rPr>
          <w:rFonts w:hint="eastAsia" w:ascii="宋体" w:hAnsi="宋体" w:cs="宋体"/>
          <w:color w:val="auto"/>
          <w:kern w:val="0"/>
          <w:sz w:val="24"/>
          <w:highlight w:val="none"/>
          <w:lang w:val="en-US" w:eastAsia="zh-CN" w:bidi="ar"/>
        </w:rPr>
        <w:t>。</w:t>
      </w:r>
    </w:p>
    <w:p>
      <w:pPr>
        <w:keepNext w:val="0"/>
        <w:keepLines w:val="0"/>
        <w:pageBreakBefore w:val="0"/>
        <w:numPr>
          <w:ilvl w:val="0"/>
          <w:numId w:val="17"/>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交货</w:t>
      </w:r>
      <w:r>
        <w:rPr>
          <w:rFonts w:hint="eastAsia" w:ascii="宋体" w:hAnsi="宋体" w:eastAsia="宋体" w:cs="宋体"/>
          <w:b/>
          <w:bCs/>
          <w:color w:val="auto"/>
          <w:sz w:val="24"/>
          <w:szCs w:val="24"/>
          <w:highlight w:val="none"/>
          <w:lang w:val="en-US" w:eastAsia="zh-CN"/>
        </w:rPr>
        <w:t>地点</w:t>
      </w:r>
    </w:p>
    <w:p>
      <w:pPr>
        <w:keepNext w:val="0"/>
        <w:keepLines w:val="0"/>
        <w:pageBreakBefore w:val="0"/>
        <w:numPr>
          <w:ilvl w:val="0"/>
          <w:numId w:val="0"/>
        </w:numPr>
        <w:shd w:val="clear" w:color="auto" w:fill="auto"/>
        <w:kinsoku/>
        <w:wordWrap/>
        <w:overflowPunct/>
        <w:topLinePunct w:val="0"/>
        <w:bidi w:val="0"/>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sz w:val="24"/>
          <w:szCs w:val="22"/>
          <w:highlight w:val="none"/>
          <w:lang w:val="en-US" w:eastAsia="zh-CN"/>
        </w:rPr>
        <w:t>中标人</w:t>
      </w:r>
      <w:r>
        <w:rPr>
          <w:rFonts w:hint="eastAsia" w:ascii="宋体" w:hAnsi="宋体" w:eastAsia="宋体" w:cs="宋体"/>
          <w:sz w:val="24"/>
          <w:szCs w:val="22"/>
          <w:highlight w:val="none"/>
          <w:lang w:val="en-US"/>
        </w:rPr>
        <w:t>在签订合同并收到</w:t>
      </w:r>
      <w:r>
        <w:rPr>
          <w:rFonts w:hint="eastAsia" w:ascii="宋体" w:hAnsi="宋体" w:eastAsia="宋体" w:cs="宋体"/>
          <w:sz w:val="24"/>
          <w:szCs w:val="22"/>
          <w:highlight w:val="none"/>
          <w:lang w:val="en-US" w:eastAsia="zh-CN"/>
        </w:rPr>
        <w:t>采购人</w:t>
      </w:r>
      <w:r>
        <w:rPr>
          <w:rFonts w:hint="eastAsia" w:ascii="宋体" w:hAnsi="宋体" w:eastAsia="宋体" w:cs="宋体"/>
          <w:sz w:val="24"/>
          <w:szCs w:val="22"/>
          <w:highlight w:val="none"/>
          <w:lang w:val="en-US"/>
        </w:rPr>
        <w:t>订单后，根据</w:t>
      </w:r>
      <w:r>
        <w:rPr>
          <w:rFonts w:hint="eastAsia" w:ascii="宋体" w:hAnsi="宋体" w:eastAsia="宋体" w:cs="宋体"/>
          <w:sz w:val="24"/>
          <w:szCs w:val="22"/>
          <w:highlight w:val="none"/>
          <w:lang w:val="en-US" w:eastAsia="zh-CN"/>
        </w:rPr>
        <w:t>采购人</w:t>
      </w:r>
      <w:r>
        <w:rPr>
          <w:rFonts w:hint="eastAsia" w:ascii="宋体" w:hAnsi="宋体" w:eastAsia="宋体" w:cs="宋体"/>
          <w:sz w:val="24"/>
          <w:szCs w:val="22"/>
          <w:highlight w:val="none"/>
          <w:lang w:val="en-US"/>
        </w:rPr>
        <w:t>要求的合理时限将订单所有产品送到指定地点</w:t>
      </w:r>
      <w:r>
        <w:rPr>
          <w:rFonts w:hint="eastAsia" w:ascii="宋体" w:hAnsi="宋体" w:cs="宋体"/>
          <w:color w:val="auto"/>
          <w:kern w:val="0"/>
          <w:sz w:val="24"/>
          <w:szCs w:val="24"/>
          <w:highlight w:val="none"/>
          <w:lang w:val="en-US" w:eastAsia="zh-CN" w:bidi="ar"/>
        </w:rPr>
        <w:t>。</w:t>
      </w:r>
    </w:p>
    <w:p>
      <w:pPr>
        <w:keepNext w:val="0"/>
        <w:keepLines w:val="0"/>
        <w:pageBreakBefore w:val="0"/>
        <w:numPr>
          <w:ilvl w:val="0"/>
          <w:numId w:val="17"/>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报价要求</w:t>
      </w:r>
    </w:p>
    <w:p>
      <w:pPr>
        <w:keepNext w:val="0"/>
        <w:keepLines w:val="0"/>
        <w:widowControl/>
        <w:numPr>
          <w:ilvl w:val="0"/>
          <w:numId w:val="18"/>
        </w:numPr>
        <w:spacing w:line="360" w:lineRule="auto"/>
        <w:ind w:left="425" w:hanging="425"/>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ascii="宋体" w:hAnsi="宋体" w:cs="宋体"/>
          <w:color w:val="auto"/>
          <w:sz w:val="24"/>
          <w:szCs w:val="24"/>
          <w:highlight w:val="none"/>
          <w:lang w:val="en-US" w:eastAsia="zh-CN"/>
        </w:rPr>
        <w:t>最高限价</w:t>
      </w:r>
      <w:r>
        <w:rPr>
          <w:rFonts w:hint="eastAsia" w:ascii="宋体" w:hAnsi="宋体" w:cs="宋体"/>
          <w:color w:val="auto"/>
          <w:sz w:val="24"/>
          <w:highlight w:val="none"/>
          <w:lang w:val="en-US" w:eastAsia="zh-CN"/>
        </w:rPr>
        <w:t>1,900,000.00</w:t>
      </w:r>
      <w:r>
        <w:rPr>
          <w:rFonts w:hint="eastAsia" w:ascii="宋体" w:hAnsi="宋体" w:eastAsia="宋体" w:cs="宋体"/>
          <w:color w:val="auto"/>
          <w:sz w:val="24"/>
          <w:szCs w:val="24"/>
          <w:highlight w:val="none"/>
          <w:lang w:val="en-US" w:eastAsia="zh-CN"/>
        </w:rPr>
        <w:t>元。投标报价</w:t>
      </w:r>
      <w:r>
        <w:rPr>
          <w:rFonts w:hint="eastAsia" w:ascii="宋体" w:hAnsi="宋体" w:cs="宋体"/>
          <w:color w:val="auto"/>
          <w:sz w:val="24"/>
          <w:szCs w:val="24"/>
          <w:highlight w:val="none"/>
          <w:lang w:val="en-US" w:eastAsia="zh-CN"/>
        </w:rPr>
        <w:t>不得高于本项目最高限价</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否则将视为无效投标</w:t>
      </w:r>
      <w:r>
        <w:rPr>
          <w:rFonts w:hint="eastAsia" w:ascii="宋体" w:hAnsi="宋体" w:eastAsia="宋体" w:cs="宋体"/>
          <w:color w:val="auto"/>
          <w:sz w:val="24"/>
          <w:szCs w:val="24"/>
          <w:highlight w:val="none"/>
          <w:lang w:val="en-US" w:eastAsia="zh-CN"/>
        </w:rPr>
        <w:t>。</w:t>
      </w:r>
    </w:p>
    <w:p>
      <w:pPr>
        <w:widowControl/>
        <w:numPr>
          <w:ilvl w:val="0"/>
          <w:numId w:val="18"/>
        </w:numPr>
        <w:spacing w:line="360" w:lineRule="auto"/>
        <w:ind w:left="425" w:hanging="425" w:firstLineChars="0"/>
        <w:jc w:val="left"/>
        <w:rPr>
          <w:rFonts w:hint="eastAsia"/>
          <w:lang w:val="en-US" w:eastAsia="zh-CN"/>
        </w:rPr>
      </w:pPr>
      <w:r>
        <w:rPr>
          <w:rFonts w:hint="eastAsia" w:ascii="宋体" w:hAnsi="宋体" w:eastAsia="宋体" w:cs="宋体"/>
          <w:color w:val="auto"/>
          <w:sz w:val="24"/>
          <w:szCs w:val="24"/>
          <w:highlight w:val="none"/>
          <w:lang w:val="en-US" w:eastAsia="zh-CN"/>
        </w:rPr>
        <w:t>投标报价为全包价，以人民币为结算单位，包括</w:t>
      </w:r>
      <w:r>
        <w:rPr>
          <w:rFonts w:hint="eastAsia" w:ascii="宋体" w:hAnsi="宋体" w:cs="宋体"/>
          <w:color w:val="auto"/>
          <w:sz w:val="24"/>
          <w:szCs w:val="24"/>
          <w:highlight w:val="none"/>
          <w:lang w:val="en-US" w:eastAsia="zh-CN"/>
        </w:rPr>
        <w:t>本采购项目所包含的货物、标准附件、备品备件、专用工具、图纸资料、技术服务，包装、仓储、运输、装卸、保险、税金，货到就位以及安装、调试、培训、保修等一切税金和费用</w:t>
      </w:r>
      <w:r>
        <w:rPr>
          <w:rFonts w:hint="eastAsia" w:ascii="宋体" w:hAnsi="宋体" w:eastAsia="宋体" w:cs="宋体"/>
          <w:color w:val="auto"/>
          <w:sz w:val="24"/>
          <w:szCs w:val="24"/>
          <w:highlight w:val="none"/>
          <w:lang w:val="en-US" w:eastAsia="zh-CN"/>
        </w:rPr>
        <w:t>。</w:t>
      </w:r>
    </w:p>
    <w:p>
      <w:pPr>
        <w:keepNext w:val="0"/>
        <w:keepLines w:val="0"/>
        <w:pageBreakBefore w:val="0"/>
        <w:numPr>
          <w:ilvl w:val="0"/>
          <w:numId w:val="17"/>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付款方式</w:t>
      </w:r>
    </w:p>
    <w:p>
      <w:pPr>
        <w:pStyle w:val="73"/>
        <w:keepNext w:val="0"/>
        <w:keepLines w:val="0"/>
        <w:pageBreakBefore w:val="0"/>
        <w:numPr>
          <w:ilvl w:val="0"/>
          <w:numId w:val="19"/>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cs="宋体"/>
          <w:highlight w:val="none"/>
          <w:lang w:val="en-US" w:eastAsia="zh-CN"/>
        </w:rPr>
      </w:pPr>
      <w:r>
        <w:rPr>
          <w:rFonts w:hint="eastAsia"/>
          <w:lang w:eastAsia="zh-CN"/>
        </w:rPr>
        <w:t>合同签订</w:t>
      </w:r>
      <w:r>
        <w:rPr>
          <w:rFonts w:ascii="新宋体" w:hAnsi="新宋体" w:eastAsia="新宋体" w:cs="新宋体"/>
          <w:color w:val="000000"/>
          <w:kern w:val="0"/>
          <w:sz w:val="24"/>
          <w:szCs w:val="24"/>
          <w:lang w:val="en-US" w:eastAsia="zh-CN" w:bidi="ar"/>
        </w:rPr>
        <w:t>后</w:t>
      </w:r>
      <w:r>
        <w:rPr>
          <w:rFonts w:hint="eastAsia" w:ascii="新宋体" w:hAnsi="新宋体" w:eastAsia="新宋体" w:cs="新宋体"/>
          <w:color w:val="000000"/>
          <w:kern w:val="0"/>
          <w:sz w:val="24"/>
          <w:szCs w:val="24"/>
          <w:lang w:val="en-US" w:eastAsia="zh-CN" w:bidi="ar"/>
        </w:rPr>
        <w:t>10个日历天内支付合同</w:t>
      </w:r>
      <w:r>
        <w:rPr>
          <w:rFonts w:ascii="新宋体" w:hAnsi="新宋体" w:eastAsia="新宋体" w:cs="新宋体"/>
          <w:color w:val="000000"/>
          <w:kern w:val="0"/>
          <w:sz w:val="24"/>
          <w:szCs w:val="24"/>
          <w:lang w:val="en-US" w:eastAsia="zh-CN" w:bidi="ar"/>
        </w:rPr>
        <w:t>总金额的50</w:t>
      </w:r>
      <w:r>
        <w:rPr>
          <w:rFonts w:hint="eastAsia" w:ascii="新宋体" w:hAnsi="新宋体" w:eastAsia="新宋体" w:cs="新宋体"/>
          <w:color w:val="000000"/>
          <w:kern w:val="0"/>
          <w:sz w:val="24"/>
          <w:szCs w:val="24"/>
          <w:lang w:val="en-US" w:eastAsia="zh-CN" w:bidi="ar"/>
        </w:rPr>
        <w:t>％，余下款项在托盘全部交付验收合格后30个日历天内一次性付清</w:t>
      </w:r>
      <w:r>
        <w:rPr>
          <w:rFonts w:hint="eastAsia" w:ascii="宋体" w:hAnsi="宋体" w:cs="宋体"/>
          <w:highlight w:val="none"/>
          <w:lang w:val="en-US" w:eastAsia="zh-CN"/>
        </w:rPr>
        <w:t>。</w:t>
      </w:r>
    </w:p>
    <w:p>
      <w:pPr>
        <w:pStyle w:val="73"/>
        <w:keepNext w:val="0"/>
        <w:keepLines w:val="0"/>
        <w:pageBreakBefore w:val="0"/>
        <w:numPr>
          <w:ilvl w:val="0"/>
          <w:numId w:val="19"/>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cs="宋体"/>
          <w:highlight w:val="none"/>
          <w:lang w:val="en-US" w:eastAsia="zh-CN"/>
        </w:rPr>
      </w:pPr>
      <w:r>
        <w:rPr>
          <w:rFonts w:hint="eastAsia" w:ascii="宋体" w:hAnsi="宋体" w:eastAsia="宋体" w:cs="宋体"/>
          <w:color w:val="auto"/>
          <w:szCs w:val="21"/>
          <w:highlight w:val="none"/>
          <w:lang w:val="en-US" w:eastAsia="zh-CN"/>
        </w:rPr>
        <w:t>上</w:t>
      </w:r>
      <w:r>
        <w:rPr>
          <w:rFonts w:hint="eastAsia" w:ascii="宋体" w:hAnsi="宋体" w:eastAsia="宋体" w:cs="宋体"/>
          <w:color w:val="auto"/>
          <w:szCs w:val="21"/>
          <w:highlight w:val="none"/>
        </w:rPr>
        <w:t>述款项均不计算利息。</w:t>
      </w:r>
      <w:r>
        <w:rPr>
          <w:rFonts w:hint="eastAsia" w:ascii="宋体" w:hAnsi="宋体" w:cs="宋体"/>
          <w:color w:val="auto"/>
          <w:szCs w:val="21"/>
          <w:highlight w:val="none"/>
          <w:lang w:val="en-US" w:eastAsia="zh-CN"/>
        </w:rPr>
        <w:t>中标人</w:t>
      </w:r>
      <w:r>
        <w:rPr>
          <w:rFonts w:hint="eastAsia" w:ascii="宋体" w:hAnsi="宋体" w:eastAsia="宋体" w:cs="宋体"/>
          <w:color w:val="auto"/>
          <w:szCs w:val="21"/>
          <w:highlight w:val="none"/>
        </w:rPr>
        <w:t>应严格按税收政策规定，在收取</w:t>
      </w:r>
      <w:r>
        <w:rPr>
          <w:rFonts w:hint="eastAsia" w:ascii="宋体" w:hAnsi="宋体" w:eastAsia="宋体" w:cs="宋体"/>
          <w:color w:val="auto"/>
          <w:szCs w:val="21"/>
          <w:highlight w:val="none"/>
          <w:lang w:val="en-US" w:eastAsia="zh-CN"/>
        </w:rPr>
        <w:t>款项</w:t>
      </w:r>
      <w:r>
        <w:rPr>
          <w:rFonts w:hint="eastAsia" w:ascii="宋体" w:hAnsi="宋体" w:eastAsia="宋体" w:cs="宋体"/>
          <w:color w:val="auto"/>
          <w:szCs w:val="21"/>
          <w:highlight w:val="none"/>
        </w:rPr>
        <w:t>时，向</w:t>
      </w:r>
      <w:r>
        <w:rPr>
          <w:rFonts w:hint="eastAsia" w:ascii="宋体" w:hAnsi="宋体" w:eastAsia="宋体" w:cs="宋体"/>
          <w:color w:val="auto"/>
          <w:szCs w:val="21"/>
          <w:highlight w:val="none"/>
          <w:lang w:val="en-US" w:eastAsia="zh-CN"/>
        </w:rPr>
        <w:t>采购人</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val="en-US" w:eastAsia="zh-CN"/>
        </w:rPr>
        <w:t>13%的</w:t>
      </w:r>
      <w:r>
        <w:rPr>
          <w:rFonts w:hint="eastAsia" w:ascii="宋体" w:hAnsi="宋体" w:eastAsia="宋体" w:cs="宋体"/>
          <w:color w:val="auto"/>
          <w:szCs w:val="21"/>
          <w:highlight w:val="none"/>
        </w:rPr>
        <w:t>增值税发票</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否则甲方有权延后付款且不视为甲方违约，不需对乙方承担任何违约责任</w:t>
      </w:r>
      <w:r>
        <w:rPr>
          <w:rFonts w:hint="eastAsia" w:ascii="宋体" w:hAnsi="宋体" w:cs="宋体"/>
          <w:color w:val="auto"/>
          <w:szCs w:val="21"/>
          <w:highlight w:val="none"/>
          <w:lang w:val="en-US" w:eastAsia="zh-CN"/>
        </w:rPr>
        <w:t>。</w:t>
      </w:r>
    </w:p>
    <w:p>
      <w:pPr>
        <w:pStyle w:val="73"/>
        <w:keepNext w:val="0"/>
        <w:keepLines w:val="0"/>
        <w:pageBreakBefore w:val="0"/>
        <w:numPr>
          <w:ilvl w:val="0"/>
          <w:numId w:val="19"/>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cs="宋体"/>
          <w:highlight w:val="none"/>
          <w:lang w:val="en-US" w:eastAsia="zh-CN"/>
        </w:rPr>
      </w:pPr>
      <w:r>
        <w:rPr>
          <w:rFonts w:hint="eastAsia" w:ascii="宋体" w:hAnsi="宋体" w:eastAsia="宋体" w:cs="宋体"/>
          <w:color w:val="auto"/>
          <w:szCs w:val="21"/>
          <w:highlight w:val="none"/>
          <w:lang w:val="en-US" w:eastAsia="zh-CN"/>
        </w:rPr>
        <w:t>收款方、出具发票方、合同乙方均必须与中标人</w:t>
      </w:r>
      <w:r>
        <w:rPr>
          <w:rFonts w:hint="eastAsia" w:ascii="宋体" w:hAnsi="宋体" w:cs="宋体"/>
          <w:highlight w:val="none"/>
          <w:lang w:val="en-US" w:eastAsia="zh-CN"/>
        </w:rPr>
        <w:t>名称一致。</w:t>
      </w:r>
    </w:p>
    <w:p>
      <w:pPr>
        <w:keepNext w:val="0"/>
        <w:keepLines w:val="0"/>
        <w:pageBreakBefore w:val="0"/>
        <w:numPr>
          <w:ilvl w:val="0"/>
          <w:numId w:val="17"/>
        </w:numPr>
        <w:shd w:val="clear" w:color="auto" w:fill="auto"/>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highlight w:val="none"/>
        </w:rPr>
        <w:t>货物交付及</w:t>
      </w:r>
      <w:r>
        <w:rPr>
          <w:rFonts w:hint="eastAsia" w:ascii="宋体" w:hAnsi="宋体" w:eastAsia="宋体" w:cs="宋体"/>
          <w:b/>
          <w:bCs/>
          <w:color w:val="auto"/>
          <w:sz w:val="24"/>
          <w:highlight w:val="none"/>
          <w:lang w:val="en-US"/>
        </w:rPr>
        <w:t>验收标准</w:t>
      </w:r>
    </w:p>
    <w:p>
      <w:pPr>
        <w:numPr>
          <w:ilvl w:val="0"/>
          <w:numId w:val="20"/>
        </w:numPr>
        <w:tabs>
          <w:tab w:val="left" w:pos="426"/>
        </w:tabs>
        <w:spacing w:line="360" w:lineRule="auto"/>
        <w:ind w:left="425" w:leftChars="0" w:hanging="425" w:firstLineChars="0"/>
        <w:rPr>
          <w:rFonts w:hint="eastAsia" w:ascii="新宋体" w:hAnsi="新宋体" w:eastAsia="新宋体" w:cs="新宋体"/>
          <w:color w:val="000000"/>
          <w:kern w:val="0"/>
          <w:sz w:val="24"/>
          <w:szCs w:val="24"/>
          <w:highlight w:val="none"/>
          <w:lang w:val="en-US" w:eastAsia="zh-CN" w:bidi="ar"/>
        </w:rPr>
      </w:pPr>
      <w:r>
        <w:rPr>
          <w:rFonts w:hint="eastAsia" w:ascii="新宋体" w:hAnsi="新宋体" w:eastAsia="新宋体" w:cs="新宋体"/>
          <w:color w:val="000000"/>
          <w:kern w:val="0"/>
          <w:sz w:val="24"/>
          <w:lang w:val="en-US" w:bidi="ar"/>
        </w:rPr>
        <w:t>合同期内</w:t>
      </w:r>
      <w:r>
        <w:rPr>
          <w:rFonts w:hint="eastAsia" w:ascii="新宋体" w:hAnsi="新宋体" w:eastAsia="新宋体" w:cs="新宋体"/>
          <w:color w:val="000000"/>
          <w:kern w:val="0"/>
          <w:sz w:val="24"/>
          <w:lang w:val="en-US" w:eastAsia="zh-CN" w:bidi="ar"/>
        </w:rPr>
        <w:t>中标人</w:t>
      </w:r>
      <w:r>
        <w:rPr>
          <w:rFonts w:hint="eastAsia" w:ascii="新宋体" w:hAnsi="新宋体" w:eastAsia="新宋体" w:cs="新宋体"/>
          <w:color w:val="000000"/>
          <w:kern w:val="0"/>
          <w:sz w:val="24"/>
          <w:lang w:val="en-US" w:bidi="ar"/>
        </w:rPr>
        <w:t>须确保</w:t>
      </w:r>
      <w:r>
        <w:rPr>
          <w:rFonts w:hint="eastAsia" w:ascii="新宋体" w:hAnsi="新宋体" w:eastAsia="新宋体" w:cs="新宋体"/>
          <w:color w:val="000000"/>
          <w:kern w:val="0"/>
          <w:sz w:val="24"/>
          <w:lang w:val="en-US" w:eastAsia="zh-CN" w:bidi="ar"/>
        </w:rPr>
        <w:t>采购人</w:t>
      </w:r>
      <w:r>
        <w:rPr>
          <w:rFonts w:hint="eastAsia" w:ascii="新宋体" w:hAnsi="新宋体" w:eastAsia="新宋体" w:cs="新宋体"/>
          <w:color w:val="000000"/>
          <w:kern w:val="0"/>
          <w:sz w:val="24"/>
          <w:lang w:val="en-US" w:bidi="ar"/>
        </w:rPr>
        <w:t>需求，若因</w:t>
      </w:r>
      <w:r>
        <w:rPr>
          <w:rFonts w:hint="eastAsia" w:ascii="新宋体" w:hAnsi="新宋体" w:eastAsia="新宋体" w:cs="新宋体"/>
          <w:color w:val="000000"/>
          <w:kern w:val="0"/>
          <w:sz w:val="24"/>
          <w:lang w:val="en-US" w:eastAsia="zh-CN" w:bidi="ar"/>
        </w:rPr>
        <w:t>中标人</w:t>
      </w:r>
      <w:r>
        <w:rPr>
          <w:rFonts w:hint="eastAsia" w:ascii="新宋体" w:hAnsi="新宋体" w:eastAsia="新宋体" w:cs="新宋体"/>
          <w:color w:val="000000"/>
          <w:kern w:val="0"/>
          <w:sz w:val="24"/>
          <w:lang w:val="en-US" w:bidi="ar"/>
        </w:rPr>
        <w:t>无法满足</w:t>
      </w:r>
      <w:r>
        <w:rPr>
          <w:rFonts w:hint="eastAsia" w:ascii="新宋体" w:hAnsi="新宋体" w:eastAsia="新宋体" w:cs="新宋体"/>
          <w:color w:val="000000"/>
          <w:kern w:val="0"/>
          <w:sz w:val="24"/>
          <w:lang w:val="en-US" w:eastAsia="zh-CN" w:bidi="ar"/>
        </w:rPr>
        <w:t>采购人</w:t>
      </w:r>
      <w:r>
        <w:rPr>
          <w:rFonts w:hint="eastAsia" w:ascii="新宋体" w:hAnsi="新宋体" w:eastAsia="新宋体" w:cs="新宋体"/>
          <w:color w:val="000000"/>
          <w:kern w:val="0"/>
          <w:sz w:val="24"/>
          <w:lang w:val="en-US" w:bidi="ar"/>
        </w:rPr>
        <w:t>用量而影响</w:t>
      </w:r>
      <w:r>
        <w:rPr>
          <w:rFonts w:hint="eastAsia" w:ascii="新宋体" w:hAnsi="新宋体" w:eastAsia="新宋体" w:cs="新宋体"/>
          <w:color w:val="000000"/>
          <w:kern w:val="0"/>
          <w:sz w:val="24"/>
          <w:lang w:val="en-US" w:eastAsia="zh-CN" w:bidi="ar"/>
        </w:rPr>
        <w:t>采购人</w:t>
      </w:r>
      <w:r>
        <w:rPr>
          <w:rFonts w:hint="eastAsia" w:ascii="新宋体" w:hAnsi="新宋体" w:eastAsia="新宋体" w:cs="新宋体"/>
          <w:color w:val="000000"/>
          <w:kern w:val="0"/>
          <w:sz w:val="24"/>
          <w:lang w:val="en-US" w:bidi="ar"/>
        </w:rPr>
        <w:t>正常生产，</w:t>
      </w:r>
      <w:r>
        <w:rPr>
          <w:rFonts w:hint="eastAsia" w:ascii="新宋体" w:hAnsi="新宋体" w:eastAsia="新宋体" w:cs="新宋体"/>
          <w:color w:val="000000"/>
          <w:kern w:val="0"/>
          <w:sz w:val="24"/>
          <w:lang w:val="en-US" w:eastAsia="zh-CN" w:bidi="ar"/>
        </w:rPr>
        <w:t>采购人</w:t>
      </w:r>
      <w:r>
        <w:rPr>
          <w:rFonts w:hint="eastAsia" w:ascii="新宋体" w:hAnsi="新宋体" w:eastAsia="新宋体" w:cs="新宋体"/>
          <w:color w:val="000000"/>
          <w:kern w:val="0"/>
          <w:sz w:val="24"/>
          <w:lang w:val="en-US" w:bidi="ar"/>
        </w:rPr>
        <w:t>有权止付</w:t>
      </w:r>
      <w:r>
        <w:rPr>
          <w:rFonts w:hint="eastAsia" w:ascii="新宋体" w:hAnsi="新宋体" w:eastAsia="新宋体" w:cs="新宋体"/>
          <w:color w:val="000000"/>
          <w:kern w:val="0"/>
          <w:sz w:val="24"/>
          <w:lang w:val="en-US" w:eastAsia="zh-CN" w:bidi="ar"/>
        </w:rPr>
        <w:t>中标人</w:t>
      </w:r>
      <w:r>
        <w:rPr>
          <w:rFonts w:hint="eastAsia" w:ascii="新宋体" w:hAnsi="新宋体" w:eastAsia="新宋体" w:cs="新宋体"/>
          <w:color w:val="000000"/>
          <w:kern w:val="0"/>
          <w:sz w:val="24"/>
          <w:lang w:val="en-US" w:bidi="ar"/>
        </w:rPr>
        <w:t>的到期货款，并从中扣除</w:t>
      </w:r>
      <w:r>
        <w:rPr>
          <w:rFonts w:hint="eastAsia" w:ascii="新宋体" w:hAnsi="新宋体" w:eastAsia="新宋体" w:cs="新宋体"/>
          <w:color w:val="000000"/>
          <w:kern w:val="0"/>
          <w:sz w:val="24"/>
          <w:lang w:val="en-US" w:eastAsia="zh-CN" w:bidi="ar"/>
        </w:rPr>
        <w:t>中标人</w:t>
      </w:r>
      <w:r>
        <w:rPr>
          <w:rFonts w:hint="eastAsia" w:ascii="新宋体" w:hAnsi="新宋体" w:eastAsia="新宋体" w:cs="新宋体"/>
          <w:color w:val="000000"/>
          <w:kern w:val="0"/>
          <w:sz w:val="24"/>
          <w:lang w:val="en-US" w:bidi="ar"/>
        </w:rPr>
        <w:t>给</w:t>
      </w:r>
      <w:r>
        <w:rPr>
          <w:rFonts w:hint="eastAsia" w:ascii="新宋体" w:hAnsi="新宋体" w:eastAsia="新宋体" w:cs="新宋体"/>
          <w:color w:val="000000"/>
          <w:kern w:val="0"/>
          <w:sz w:val="24"/>
          <w:lang w:val="en-US" w:eastAsia="zh-CN" w:bidi="ar"/>
        </w:rPr>
        <w:t>采购人</w:t>
      </w:r>
      <w:r>
        <w:rPr>
          <w:rFonts w:hint="eastAsia" w:ascii="新宋体" w:hAnsi="新宋体" w:eastAsia="新宋体" w:cs="新宋体"/>
          <w:color w:val="000000"/>
          <w:kern w:val="0"/>
          <w:sz w:val="24"/>
          <w:lang w:val="en-US" w:bidi="ar"/>
        </w:rPr>
        <w:t>造成的损失，且</w:t>
      </w:r>
      <w:r>
        <w:rPr>
          <w:rFonts w:hint="eastAsia" w:ascii="新宋体" w:hAnsi="新宋体" w:eastAsia="新宋体" w:cs="新宋体"/>
          <w:color w:val="000000"/>
          <w:kern w:val="0"/>
          <w:sz w:val="24"/>
          <w:lang w:val="en-US" w:eastAsia="zh-CN" w:bidi="ar"/>
        </w:rPr>
        <w:t>采购人</w:t>
      </w:r>
      <w:r>
        <w:rPr>
          <w:rFonts w:hint="eastAsia" w:ascii="新宋体" w:hAnsi="新宋体" w:eastAsia="新宋体" w:cs="新宋体"/>
          <w:color w:val="000000"/>
          <w:kern w:val="0"/>
          <w:sz w:val="24"/>
          <w:lang w:val="en-US" w:bidi="ar"/>
        </w:rPr>
        <w:t>有权单方解除合同。</w:t>
      </w:r>
    </w:p>
    <w:p>
      <w:pPr>
        <w:numPr>
          <w:ilvl w:val="0"/>
          <w:numId w:val="20"/>
        </w:numPr>
        <w:tabs>
          <w:tab w:val="left" w:pos="426"/>
        </w:tabs>
        <w:spacing w:line="360" w:lineRule="auto"/>
        <w:ind w:left="425" w:leftChars="0" w:hanging="425" w:firstLineChars="0"/>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项目验收依次序对照执行标准为：①符合中华人民共和国国家和履约地相关安全质量标准、行业技术规范标准、环保节能标准；②符合</w:t>
      </w:r>
      <w:r>
        <w:rPr>
          <w:rFonts w:hint="eastAsia" w:ascii="宋体" w:hAnsi="宋体" w:cs="宋体"/>
          <w:kern w:val="2"/>
          <w:sz w:val="24"/>
          <w:szCs w:val="22"/>
          <w:highlight w:val="none"/>
          <w:lang w:val="en-US" w:eastAsia="zh-CN" w:bidi="ar-SA"/>
        </w:rPr>
        <w:t>招标</w:t>
      </w:r>
      <w:r>
        <w:rPr>
          <w:rFonts w:hint="eastAsia" w:ascii="宋体" w:hAnsi="宋体" w:eastAsia="宋体" w:cs="宋体"/>
          <w:kern w:val="2"/>
          <w:sz w:val="24"/>
          <w:szCs w:val="22"/>
          <w:highlight w:val="none"/>
          <w:lang w:val="en-US" w:eastAsia="zh-CN" w:bidi="ar-SA"/>
        </w:rPr>
        <w:t>文件和响应承诺中各方共同认可的合理最佳配置、参数规格及各项要求；③符合产品来源国</w:t>
      </w:r>
      <w:r>
        <w:rPr>
          <w:rFonts w:hint="eastAsia" w:ascii="宋体" w:hAnsi="宋体" w:cs="宋体"/>
          <w:kern w:val="2"/>
          <w:sz w:val="24"/>
          <w:szCs w:val="22"/>
          <w:highlight w:val="none"/>
          <w:lang w:val="en-US" w:eastAsia="zh-CN" w:bidi="ar-SA"/>
        </w:rPr>
        <w:t>家</w:t>
      </w:r>
      <w:r>
        <w:rPr>
          <w:rFonts w:hint="eastAsia" w:ascii="宋体" w:hAnsi="宋体" w:eastAsia="宋体" w:cs="宋体"/>
          <w:kern w:val="2"/>
          <w:sz w:val="24"/>
          <w:szCs w:val="22"/>
          <w:highlight w:val="none"/>
          <w:lang w:val="en-US" w:eastAsia="zh-CN" w:bidi="ar-SA"/>
        </w:rPr>
        <w:t>官方颁布的最新标准；④双方约定的其他验收标准。</w:t>
      </w:r>
    </w:p>
    <w:p>
      <w:pPr>
        <w:numPr>
          <w:ilvl w:val="0"/>
          <w:numId w:val="20"/>
        </w:numPr>
        <w:tabs>
          <w:tab w:val="left" w:pos="426"/>
        </w:tabs>
        <w:spacing w:line="360" w:lineRule="auto"/>
        <w:ind w:left="425" w:leftChars="0" w:hanging="425" w:firstLineChars="0"/>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产品均为原厂制造的全新合格产品，且有合法透明的来源渠道，无侵权行为、无任何缺陷隐患，可依常规合法安全使用。</w:t>
      </w:r>
    </w:p>
    <w:p>
      <w:pPr>
        <w:numPr>
          <w:ilvl w:val="0"/>
          <w:numId w:val="20"/>
        </w:numPr>
        <w:tabs>
          <w:tab w:val="left" w:pos="426"/>
        </w:tabs>
        <w:spacing w:line="360" w:lineRule="auto"/>
        <w:ind w:left="425" w:leftChars="0" w:hanging="425" w:firstLineChars="0"/>
        <w:rPr>
          <w:rFonts w:hint="eastAsia" w:ascii="宋体" w:hAnsi="宋体" w:eastAsia="宋体" w:cs="宋体"/>
          <w:kern w:val="2"/>
          <w:sz w:val="24"/>
          <w:szCs w:val="22"/>
          <w:highlight w:val="none"/>
          <w:lang w:val="en-US" w:eastAsia="zh-CN" w:bidi="ar-SA"/>
        </w:rPr>
      </w:pPr>
      <w:r>
        <w:rPr>
          <w:rFonts w:hint="eastAsia" w:ascii="宋体" w:hAnsi="宋体" w:eastAsia="宋体" w:cs="宋体"/>
          <w:sz w:val="24"/>
          <w:szCs w:val="22"/>
          <w:highlight w:val="none"/>
          <w:lang w:val="en-US"/>
        </w:rPr>
        <w:t>损耗标准及计算方法：无损耗，出现损耗一切损失由</w:t>
      </w:r>
      <w:r>
        <w:rPr>
          <w:rFonts w:hint="eastAsia" w:ascii="宋体" w:hAnsi="宋体" w:eastAsia="宋体" w:cs="宋体"/>
          <w:sz w:val="24"/>
          <w:szCs w:val="22"/>
          <w:highlight w:val="none"/>
          <w:lang w:val="en-US" w:eastAsia="zh-CN"/>
        </w:rPr>
        <w:t>中标人</w:t>
      </w:r>
      <w:r>
        <w:rPr>
          <w:rFonts w:hint="eastAsia" w:ascii="宋体" w:hAnsi="宋体" w:eastAsia="宋体" w:cs="宋体"/>
          <w:sz w:val="24"/>
          <w:szCs w:val="22"/>
          <w:highlight w:val="none"/>
          <w:lang w:val="en-US"/>
        </w:rPr>
        <w:t>自行承担</w:t>
      </w:r>
      <w:r>
        <w:rPr>
          <w:rFonts w:hint="eastAsia" w:ascii="宋体" w:hAnsi="宋体" w:eastAsia="宋体" w:cs="宋体"/>
          <w:kern w:val="2"/>
          <w:sz w:val="24"/>
          <w:szCs w:val="22"/>
          <w:highlight w:val="none"/>
          <w:lang w:val="en-US" w:eastAsia="zh-CN" w:bidi="ar-SA"/>
        </w:rPr>
        <w:t>。</w:t>
      </w:r>
    </w:p>
    <w:p>
      <w:pPr>
        <w:numPr>
          <w:ilvl w:val="0"/>
          <w:numId w:val="17"/>
        </w:numPr>
        <w:shd w:val="clear" w:color="auto" w:fill="auto"/>
        <w:snapToGrid/>
        <w:spacing w:line="360" w:lineRule="auto"/>
        <w:ind w:left="425" w:hanging="425"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质量</w:t>
      </w:r>
      <w:r>
        <w:rPr>
          <w:rFonts w:hint="eastAsia" w:ascii="宋体" w:hAnsi="宋体" w:cs="宋体"/>
          <w:b/>
          <w:bCs/>
          <w:color w:val="auto"/>
          <w:sz w:val="24"/>
          <w:szCs w:val="24"/>
          <w:highlight w:val="none"/>
          <w:lang w:val="en-US" w:eastAsia="zh-CN"/>
        </w:rPr>
        <w:t>保证</w:t>
      </w:r>
    </w:p>
    <w:p>
      <w:pPr>
        <w:keepNext w:val="0"/>
        <w:keepLines w:val="0"/>
        <w:pageBreakBefore w:val="0"/>
        <w:numPr>
          <w:ilvl w:val="-1"/>
          <w:numId w:val="0"/>
        </w:numPr>
        <w:shd w:val="clear" w:color="auto" w:fill="auto"/>
        <w:tabs>
          <w:tab w:val="left" w:pos="42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2"/>
          <w:highlight w:val="none"/>
        </w:rPr>
      </w:pPr>
      <w:r>
        <w:rPr>
          <w:rFonts w:hint="eastAsia" w:ascii="宋体" w:hAnsi="宋体" w:eastAsia="宋体" w:cs="宋体"/>
          <w:sz w:val="24"/>
          <w:szCs w:val="22"/>
          <w:highlight w:val="none"/>
          <w:lang w:val="en-US" w:eastAsia="zh-CN"/>
        </w:rPr>
        <w:tab/>
      </w:r>
      <w:r>
        <w:rPr>
          <w:rFonts w:hint="eastAsia" w:ascii="宋体" w:hAnsi="宋体" w:eastAsia="宋体" w:cs="宋体"/>
          <w:sz w:val="24"/>
          <w:szCs w:val="22"/>
          <w:highlight w:val="none"/>
          <w:lang w:eastAsia="zh-CN"/>
        </w:rPr>
        <w:t>乙方提供给甲方的托盘能够达到甲方使用的技术要求与行业的使用标准；</w:t>
      </w:r>
    </w:p>
    <w:p>
      <w:pPr>
        <w:keepNext w:val="0"/>
        <w:keepLines w:val="0"/>
        <w:pageBreakBefore w:val="0"/>
        <w:numPr>
          <w:ilvl w:val="0"/>
          <w:numId w:val="17"/>
        </w:numPr>
        <w:shd w:val="clear" w:color="auto" w:fill="auto"/>
        <w:kinsoku/>
        <w:wordWrap/>
        <w:overflowPunct/>
        <w:topLinePunct w:val="0"/>
        <w:bidi w:val="0"/>
        <w:snapToGrid/>
        <w:spacing w:line="360" w:lineRule="auto"/>
        <w:ind w:left="425" w:leftChars="0" w:hanging="425"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质保期及售后服务</w:t>
      </w:r>
    </w:p>
    <w:p>
      <w:pPr>
        <w:numPr>
          <w:ilvl w:val="0"/>
          <w:numId w:val="0"/>
        </w:numPr>
        <w:tabs>
          <w:tab w:val="left" w:pos="426"/>
        </w:tabs>
        <w:spacing w:line="360" w:lineRule="auto"/>
        <w:ind w:firstLine="0"/>
        <w:rPr>
          <w:rFonts w:hint="eastAsia" w:ascii="宋体" w:hAnsi="宋体" w:eastAsia="宋体" w:cs="宋体"/>
          <w:sz w:val="24"/>
          <w:szCs w:val="22"/>
          <w:highlight w:val="none"/>
          <w:lang w:eastAsia="zh-CN"/>
        </w:rPr>
      </w:pPr>
      <w:r>
        <w:rPr>
          <w:rFonts w:hint="eastAsia" w:ascii="宋体" w:hAnsi="宋体" w:eastAsia="宋体" w:cs="宋体"/>
          <w:sz w:val="24"/>
          <w:szCs w:val="22"/>
          <w:highlight w:val="none"/>
          <w:lang w:val="en-US" w:eastAsia="zh-CN"/>
        </w:rPr>
        <w:tab/>
      </w:r>
      <w:r>
        <w:rPr>
          <w:rFonts w:hint="eastAsia" w:ascii="宋体" w:hAnsi="宋体" w:eastAsia="宋体" w:cs="宋体"/>
          <w:sz w:val="24"/>
          <w:szCs w:val="22"/>
          <w:highlight w:val="none"/>
          <w:lang w:eastAsia="zh-CN"/>
        </w:rPr>
        <w:t>中标人提供的托盘质保</w:t>
      </w:r>
      <w:r>
        <w:rPr>
          <w:rFonts w:hint="eastAsia" w:ascii="宋体" w:hAnsi="宋体" w:eastAsia="宋体" w:cs="宋体"/>
          <w:sz w:val="24"/>
          <w:szCs w:val="22"/>
          <w:highlight w:val="none"/>
          <w:lang w:val="en-US" w:eastAsia="zh-CN"/>
        </w:rPr>
        <w:t>期为3</w:t>
      </w:r>
      <w:r>
        <w:rPr>
          <w:rFonts w:hint="eastAsia" w:ascii="宋体" w:hAnsi="宋体" w:eastAsia="宋体" w:cs="宋体"/>
          <w:sz w:val="24"/>
          <w:szCs w:val="22"/>
          <w:highlight w:val="none"/>
          <w:lang w:eastAsia="zh-CN"/>
        </w:rPr>
        <w:t>年，从产品交付并验收合格之日起计算，</w:t>
      </w:r>
      <w:r>
        <w:rPr>
          <w:rFonts w:hint="eastAsia" w:ascii="宋体" w:hAnsi="宋体" w:eastAsia="宋体" w:cs="宋体"/>
          <w:sz w:val="24"/>
          <w:szCs w:val="22"/>
          <w:highlight w:val="none"/>
          <w:lang w:val="en-US" w:eastAsia="zh-CN"/>
        </w:rPr>
        <w:t>3</w:t>
      </w:r>
      <w:r>
        <w:rPr>
          <w:rFonts w:hint="eastAsia" w:ascii="宋体" w:hAnsi="宋体" w:eastAsia="宋体" w:cs="宋体"/>
          <w:sz w:val="24"/>
          <w:szCs w:val="22"/>
          <w:highlight w:val="none"/>
          <w:lang w:eastAsia="zh-CN"/>
        </w:rPr>
        <w:t>年内如出现质量</w:t>
      </w:r>
      <w:r>
        <w:rPr>
          <w:rFonts w:hint="eastAsia" w:ascii="宋体" w:hAnsi="宋体" w:eastAsia="宋体" w:cs="宋体"/>
          <w:sz w:val="24"/>
          <w:szCs w:val="22"/>
          <w:highlight w:val="none"/>
          <w:lang w:val="en-US" w:eastAsia="zh-CN"/>
        </w:rPr>
        <w:t>问题</w:t>
      </w:r>
      <w:r>
        <w:rPr>
          <w:rFonts w:hint="eastAsia" w:ascii="宋体" w:hAnsi="宋体" w:eastAsia="宋体" w:cs="宋体"/>
          <w:sz w:val="24"/>
          <w:szCs w:val="22"/>
          <w:highlight w:val="none"/>
          <w:lang w:eastAsia="zh-CN"/>
        </w:rPr>
        <w:t>（恶意人为破坏的除外）</w:t>
      </w:r>
      <w:r>
        <w:rPr>
          <w:rFonts w:hint="eastAsia" w:ascii="宋体" w:hAnsi="宋体" w:eastAsia="宋体" w:cs="宋体"/>
          <w:sz w:val="24"/>
          <w:szCs w:val="22"/>
          <w:highlight w:val="none"/>
          <w:lang w:val="en-US" w:eastAsia="zh-CN"/>
        </w:rPr>
        <w:t>以1：1更换</w:t>
      </w:r>
      <w:r>
        <w:rPr>
          <w:rFonts w:hint="eastAsia" w:ascii="宋体" w:hAnsi="宋体" w:eastAsia="宋体" w:cs="宋体"/>
          <w:sz w:val="24"/>
          <w:szCs w:val="22"/>
          <w:highlight w:val="none"/>
          <w:lang w:eastAsia="zh-CN"/>
        </w:rPr>
        <w:t>，</w:t>
      </w:r>
      <w:r>
        <w:rPr>
          <w:rFonts w:hint="eastAsia" w:ascii="宋体" w:hAnsi="宋体" w:eastAsia="宋体" w:cs="宋体"/>
          <w:sz w:val="24"/>
          <w:szCs w:val="22"/>
          <w:highlight w:val="none"/>
          <w:lang w:val="en-US" w:eastAsia="zh-CN"/>
        </w:rPr>
        <w:t>3年后3:1更换，</w:t>
      </w:r>
      <w:r>
        <w:rPr>
          <w:rFonts w:hint="eastAsia" w:ascii="宋体" w:hAnsi="宋体" w:eastAsia="宋体" w:cs="宋体"/>
          <w:sz w:val="24"/>
          <w:szCs w:val="22"/>
          <w:highlight w:val="none"/>
          <w:lang w:eastAsia="zh-CN"/>
        </w:rPr>
        <w:t>运费由中标人负责。</w:t>
      </w:r>
    </w:p>
    <w:p>
      <w:pPr>
        <w:numPr>
          <w:ilvl w:val="0"/>
          <w:numId w:val="0"/>
        </w:numPr>
        <w:tabs>
          <w:tab w:val="left" w:pos="426"/>
        </w:tabs>
        <w:spacing w:line="360" w:lineRule="auto"/>
        <w:ind w:firstLine="0"/>
        <w:rPr>
          <w:rFonts w:hint="eastAsia" w:ascii="宋体" w:hAnsi="宋体" w:cs="宋体"/>
          <w:color w:val="auto"/>
          <w:sz w:val="24"/>
          <w:szCs w:val="22"/>
          <w:highlight w:val="none"/>
          <w:lang w:val="en-US" w:eastAsia="zh-CN"/>
        </w:rPr>
      </w:pPr>
      <w:r>
        <w:rPr>
          <w:rFonts w:hint="eastAsia" w:ascii="宋体" w:hAnsi="宋体" w:cs="宋体"/>
          <w:color w:val="auto"/>
          <w:kern w:val="2"/>
          <w:sz w:val="24"/>
          <w:szCs w:val="24"/>
          <w:highlight w:val="none"/>
          <w:lang w:val="en-US" w:eastAsia="zh-CN" w:bidi="ar-SA"/>
        </w:rPr>
        <w:tab/>
      </w:r>
      <w:r>
        <w:rPr>
          <w:rFonts w:hint="eastAsia" w:ascii="宋体" w:hAnsi="宋体" w:eastAsia="宋体" w:cs="宋体"/>
          <w:color w:val="auto"/>
          <w:kern w:val="2"/>
          <w:sz w:val="24"/>
          <w:szCs w:val="24"/>
          <w:highlight w:val="none"/>
          <w:lang w:val="en-US" w:eastAsia="zh-CN" w:bidi="ar-SA"/>
        </w:rPr>
        <w:t>质保期内，货物出现质量问题，</w:t>
      </w:r>
      <w:r>
        <w:rPr>
          <w:rFonts w:hint="eastAsia" w:ascii="宋体" w:hAnsi="宋体" w:cs="宋体"/>
          <w:color w:val="auto"/>
          <w:kern w:val="2"/>
          <w:sz w:val="24"/>
          <w:szCs w:val="24"/>
          <w:highlight w:val="none"/>
          <w:lang w:val="en-US" w:eastAsia="zh-CN" w:bidi="ar-SA"/>
        </w:rPr>
        <w:t>中标人</w:t>
      </w:r>
      <w:r>
        <w:rPr>
          <w:rFonts w:hint="eastAsia" w:ascii="宋体" w:hAnsi="宋体" w:eastAsia="宋体" w:cs="宋体"/>
          <w:color w:val="auto"/>
          <w:kern w:val="2"/>
          <w:sz w:val="24"/>
          <w:szCs w:val="24"/>
          <w:highlight w:val="none"/>
          <w:lang w:val="en-US" w:eastAsia="zh-CN" w:bidi="ar-SA"/>
        </w:rPr>
        <w:t>接到质量问题通知后1个小时内响应，24个小时内提供处理方案，</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个工作日内解决问题。</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rPr>
      </w:pPr>
    </w:p>
    <w:p>
      <w:pPr>
        <w:shd w:val="clear" w:color="auto" w:fill="auto"/>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br w:type="page"/>
      </w:r>
      <w:bookmarkStart w:id="7" w:name="_Toc3035"/>
      <w:bookmarkStart w:id="8" w:name="_Toc28969"/>
      <w:r>
        <w:rPr>
          <w:rFonts w:hint="eastAsia" w:ascii="宋体" w:hAnsi="宋体" w:eastAsia="宋体" w:cs="宋体"/>
          <w:b/>
          <w:color w:val="auto"/>
          <w:kern w:val="0"/>
          <w:sz w:val="36"/>
          <w:szCs w:val="36"/>
          <w:highlight w:val="none"/>
        </w:rPr>
        <w:t xml:space="preserve">第三部分  </w:t>
      </w:r>
      <w:r>
        <w:rPr>
          <w:rFonts w:hint="eastAsia" w:ascii="宋体" w:hAnsi="宋体" w:eastAsia="宋体" w:cs="宋体"/>
          <w:b/>
          <w:color w:val="auto"/>
          <w:kern w:val="0"/>
          <w:sz w:val="36"/>
          <w:szCs w:val="36"/>
          <w:highlight w:val="none"/>
          <w:lang w:eastAsia="zh-CN"/>
        </w:rPr>
        <w:t>投标人须知</w:t>
      </w:r>
      <w:bookmarkEnd w:id="6"/>
      <w:bookmarkEnd w:id="7"/>
      <w:bookmarkEnd w:id="8"/>
    </w:p>
    <w:p>
      <w:pPr>
        <w:shd w:val="clear" w:color="auto" w:fill="auto"/>
        <w:spacing w:after="93" w:afterLines="30" w:line="360" w:lineRule="auto"/>
        <w:ind w:right="-178" w:rightChars="-85"/>
        <w:jc w:val="center"/>
        <w:outlineLvl w:val="1"/>
        <w:rPr>
          <w:rFonts w:hint="eastAsia" w:ascii="宋体" w:hAnsi="宋体" w:eastAsia="宋体" w:cs="宋体"/>
          <w:b/>
          <w:bCs/>
          <w:color w:val="auto"/>
          <w:kern w:val="0"/>
          <w:sz w:val="32"/>
          <w:szCs w:val="32"/>
          <w:highlight w:val="none"/>
          <w:lang w:val="en-US" w:eastAsia="zh-CN" w:bidi="ar-SA"/>
        </w:rPr>
      </w:pPr>
      <w:bookmarkStart w:id="9" w:name="_Toc19609"/>
      <w:r>
        <w:rPr>
          <w:rFonts w:hint="eastAsia" w:ascii="宋体" w:hAnsi="宋体" w:eastAsia="宋体" w:cs="宋体"/>
          <w:b/>
          <w:bCs/>
          <w:color w:val="auto"/>
          <w:kern w:val="0"/>
          <w:sz w:val="32"/>
          <w:szCs w:val="32"/>
          <w:highlight w:val="none"/>
          <w:lang w:val="en-US" w:eastAsia="zh-CN" w:bidi="ar-SA"/>
        </w:rPr>
        <w:t>投标人须知前附表</w:t>
      </w:r>
      <w:bookmarkEnd w:id="9"/>
    </w:p>
    <w:tbl>
      <w:tblPr>
        <w:tblStyle w:val="54"/>
        <w:tblW w:w="97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959"/>
        <w:gridCol w:w="7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741" w:type="dxa"/>
            <w:tcBorders>
              <w:tl2br w:val="nil"/>
              <w:tr2bl w:val="nil"/>
            </w:tcBorders>
            <w:shd w:val="clear" w:color="auto" w:fill="EEECE1"/>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序号</w:t>
            </w:r>
          </w:p>
        </w:tc>
        <w:tc>
          <w:tcPr>
            <w:tcW w:w="1959" w:type="dxa"/>
            <w:tcBorders>
              <w:tl2br w:val="nil"/>
              <w:tr2bl w:val="nil"/>
            </w:tcBorders>
            <w:shd w:val="clear" w:color="auto" w:fill="EEECE1"/>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条款名称</w:t>
            </w:r>
          </w:p>
        </w:tc>
        <w:tc>
          <w:tcPr>
            <w:tcW w:w="7082" w:type="dxa"/>
            <w:tcBorders>
              <w:tl2br w:val="nil"/>
              <w:tr2bl w:val="nil"/>
            </w:tcBorders>
            <w:shd w:val="clear" w:color="auto" w:fill="EEECE1"/>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采购人</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eastAsia="zh-CN"/>
              </w:rPr>
              <w:t>佛山市三水区国睿再生资源回收有限公司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采购代理机构</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广东杰信项目管理有限公司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踏勘现场</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不组织，由</w:t>
            </w: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rPr>
              <w:t>自行踏勘，所产生的费用自行承担。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答疑会</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不召开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开标方式</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现场开标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评标方式</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现场评标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报价形式</w:t>
            </w:r>
          </w:p>
        </w:tc>
        <w:tc>
          <w:tcPr>
            <w:tcW w:w="7082" w:type="dxa"/>
            <w:tcBorders>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val="0"/>
              <w:spacing w:line="360" w:lineRule="auto"/>
              <w:jc w:val="left"/>
              <w:textAlignment w:val="auto"/>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采购包1：总价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报价要求</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各采购包</w:t>
            </w:r>
            <w:r>
              <w:rPr>
                <w:rFonts w:hint="eastAsia" w:ascii="宋体" w:hAnsi="宋体" w:eastAsia="宋体" w:cs="宋体"/>
                <w:color w:val="auto"/>
                <w:kern w:val="0"/>
                <w:sz w:val="24"/>
                <w:highlight w:val="none"/>
                <w:lang w:eastAsia="zh-CN"/>
              </w:rPr>
              <w:t>报价不超过预算总价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投标有效期</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投标截止之日起90天，</w:t>
            </w:r>
            <w:r>
              <w:rPr>
                <w:rFonts w:hint="eastAsia" w:ascii="宋体" w:hAnsi="宋体" w:eastAsia="宋体" w:cs="宋体"/>
                <w:color w:val="auto"/>
                <w:kern w:val="0"/>
                <w:sz w:val="24"/>
                <w:highlight w:val="none"/>
                <w:lang w:eastAsia="zh-CN"/>
              </w:rPr>
              <w:t>中标</w:t>
            </w:r>
            <w:r>
              <w:rPr>
                <w:rFonts w:hint="eastAsia" w:ascii="宋体" w:hAnsi="宋体" w:cs="宋体"/>
                <w:color w:val="auto"/>
                <w:kern w:val="0"/>
                <w:sz w:val="24"/>
                <w:highlight w:val="none"/>
                <w:lang w:eastAsia="zh-CN"/>
              </w:rPr>
              <w:t>人</w:t>
            </w:r>
            <w:r>
              <w:rPr>
                <w:rFonts w:hint="eastAsia" w:ascii="宋体" w:hAnsi="宋体" w:eastAsia="宋体" w:cs="宋体"/>
                <w:color w:val="auto"/>
                <w:kern w:val="0"/>
                <w:sz w:val="24"/>
                <w:highlight w:val="none"/>
              </w:rPr>
              <w:t>投标有效期至项目验收完成之日。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投标保证金</w:t>
            </w:r>
          </w:p>
        </w:tc>
        <w:tc>
          <w:tcPr>
            <w:tcW w:w="7082" w:type="dxa"/>
            <w:tcBorders>
              <w:tl2br w:val="nil"/>
              <w:tr2bl w:val="nil"/>
            </w:tcBorders>
            <w:noWrap w:val="0"/>
            <w:vAlign w:val="center"/>
          </w:tcPr>
          <w:p>
            <w:pPr>
              <w:keepNext w:val="0"/>
              <w:keepLines w:val="0"/>
              <w:pageBreakBefore w:val="0"/>
              <w:widowControl w:val="0"/>
              <w:numPr>
                <w:ilvl w:val="0"/>
                <w:numId w:val="22"/>
              </w:numPr>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b w:val="0"/>
                <w:bCs w:val="0"/>
                <w:color w:val="auto"/>
                <w:kern w:val="0"/>
                <w:sz w:val="24"/>
                <w:highlight w:val="none"/>
                <w:u w:val="single"/>
                <w:lang w:eastAsia="zh-CN"/>
              </w:rPr>
            </w:pPr>
            <w:r>
              <w:rPr>
                <w:rFonts w:hint="eastAsia" w:ascii="宋体" w:hAnsi="宋体" w:eastAsia="宋体" w:cs="宋体"/>
                <w:b w:val="0"/>
                <w:bCs w:val="0"/>
                <w:color w:val="auto"/>
                <w:kern w:val="0"/>
                <w:sz w:val="24"/>
                <w:highlight w:val="none"/>
              </w:rPr>
              <w:t>投标保证金金额：</w:t>
            </w:r>
          </w:p>
          <w:p>
            <w:pPr>
              <w:keepNext w:val="0"/>
              <w:keepLines w:val="0"/>
              <w:pageBreakBefore w:val="0"/>
              <w:widowControl w:val="0"/>
              <w:numPr>
                <w:ilvl w:val="-1"/>
                <w:numId w:val="0"/>
              </w:numPr>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b/>
                <w:bCs/>
                <w:color w:val="auto"/>
                <w:kern w:val="0"/>
                <w:sz w:val="24"/>
                <w:highlight w:val="none"/>
                <w:u w:val="single"/>
                <w:lang w:eastAsia="zh-CN"/>
              </w:rPr>
            </w:pPr>
            <w:r>
              <w:rPr>
                <w:rFonts w:hint="eastAsia" w:ascii="宋体" w:hAnsi="宋体" w:cs="宋体"/>
                <w:b/>
                <w:bCs/>
                <w:color w:val="auto"/>
                <w:kern w:val="0"/>
                <w:sz w:val="24"/>
                <w:highlight w:val="none"/>
                <w:lang w:eastAsia="zh-CN"/>
              </w:rPr>
              <w:t>采购包1</w:t>
            </w:r>
            <w:r>
              <w:rPr>
                <w:rFonts w:hint="eastAsia" w:ascii="宋体" w:hAnsi="宋体" w:eastAsia="宋体" w:cs="宋体"/>
                <w:b/>
                <w:bCs/>
                <w:color w:val="auto"/>
                <w:kern w:val="0"/>
                <w:sz w:val="24"/>
                <w:highlight w:val="none"/>
              </w:rPr>
              <w:t>：</w:t>
            </w:r>
            <w:r>
              <w:rPr>
                <w:rFonts w:hint="eastAsia" w:ascii="宋体" w:hAnsi="宋体" w:eastAsia="宋体" w:cs="宋体"/>
                <w:b/>
                <w:bCs/>
                <w:color w:val="auto"/>
                <w:kern w:val="0"/>
                <w:sz w:val="24"/>
                <w:highlight w:val="none"/>
                <w:u w:val="single"/>
              </w:rPr>
              <w:t>￥</w:t>
            </w:r>
            <w:r>
              <w:rPr>
                <w:rFonts w:hint="eastAsia" w:ascii="宋体" w:hAnsi="宋体" w:cs="宋体"/>
                <w:b/>
                <w:bCs/>
                <w:color w:val="auto"/>
                <w:kern w:val="0"/>
                <w:sz w:val="24"/>
                <w:highlight w:val="none"/>
                <w:u w:val="single"/>
                <w:lang w:val="en-US" w:eastAsia="zh-CN"/>
              </w:rPr>
              <w:t>19000.00 ，大写：壹万玖仟元整。</w:t>
            </w:r>
          </w:p>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2、投标保证金到账时间：不超过投标截止时间。</w:t>
            </w:r>
          </w:p>
          <w:p>
            <w:pPr>
              <w:keepNext w:val="0"/>
              <w:keepLines w:val="0"/>
              <w:pageBreakBefore w:val="0"/>
              <w:widowControl w:val="0"/>
              <w:shd w:val="clear" w:color="auto" w:fill="auto"/>
              <w:kinsoku/>
              <w:wordWrap/>
              <w:overflowPunct/>
              <w:topLinePunct w:val="0"/>
              <w:autoSpaceDE/>
              <w:autoSpaceDN/>
              <w:bidi w:val="0"/>
              <w:adjustRightInd w:val="0"/>
              <w:spacing w:line="360" w:lineRule="auto"/>
              <w:ind w:left="360" w:hanging="360" w:hangingChars="150"/>
              <w:textAlignment w:val="auto"/>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3、交纳形式：</w:t>
            </w:r>
            <w:r>
              <w:rPr>
                <w:rFonts w:hint="eastAsia" w:ascii="宋体" w:hAnsi="宋体" w:cs="宋体"/>
                <w:b w:val="0"/>
                <w:bCs w:val="0"/>
                <w:color w:val="auto"/>
                <w:kern w:val="0"/>
                <w:sz w:val="24"/>
                <w:highlight w:val="none"/>
                <w:lang w:val="en-US" w:eastAsia="zh-CN"/>
              </w:rPr>
              <w:t>银行转账</w:t>
            </w:r>
            <w:r>
              <w:rPr>
                <w:rFonts w:hint="eastAsia" w:ascii="宋体" w:hAnsi="宋体" w:eastAsia="宋体" w:cs="宋体"/>
                <w:b w:val="0"/>
                <w:bCs w:val="0"/>
                <w:color w:val="auto"/>
                <w:kern w:val="0"/>
                <w:sz w:val="24"/>
                <w:highlight w:val="none"/>
              </w:rPr>
              <w:t>。</w:t>
            </w:r>
          </w:p>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4、投标保证金汇入户址：</w:t>
            </w:r>
          </w:p>
          <w:p>
            <w:pPr>
              <w:keepNext w:val="0"/>
              <w:keepLines w:val="0"/>
              <w:pageBreakBefore w:val="0"/>
              <w:widowControl w:val="0"/>
              <w:shd w:val="clear" w:color="auto" w:fill="auto"/>
              <w:kinsoku/>
              <w:wordWrap/>
              <w:overflowPunct/>
              <w:topLinePunct w:val="0"/>
              <w:autoSpaceDE/>
              <w:autoSpaceDN/>
              <w:bidi w:val="0"/>
              <w:adjustRightInd w:val="0"/>
              <w:spacing w:line="360" w:lineRule="auto"/>
              <w:ind w:left="417" w:leftChars="0" w:hanging="417" w:hangingChars="174"/>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开户名称：广东杰信项目管理有限公司 </w:t>
            </w:r>
          </w:p>
          <w:p>
            <w:pPr>
              <w:keepNext w:val="0"/>
              <w:keepLines w:val="0"/>
              <w:pageBreakBefore w:val="0"/>
              <w:widowControl w:val="0"/>
              <w:shd w:val="clear" w:color="auto" w:fill="auto"/>
              <w:kinsoku/>
              <w:wordWrap/>
              <w:overflowPunct/>
              <w:topLinePunct w:val="0"/>
              <w:autoSpaceDE/>
              <w:autoSpaceDN/>
              <w:bidi w:val="0"/>
              <w:adjustRightInd w:val="0"/>
              <w:spacing w:line="360" w:lineRule="auto"/>
              <w:ind w:left="417" w:leftChars="0" w:hanging="417" w:hangingChars="174"/>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账    号：44441601040005789  </w:t>
            </w:r>
          </w:p>
          <w:p>
            <w:pPr>
              <w:keepNext w:val="0"/>
              <w:keepLines w:val="0"/>
              <w:pageBreakBefore w:val="0"/>
              <w:widowControl w:val="0"/>
              <w:shd w:val="clear" w:color="auto" w:fill="auto"/>
              <w:kinsoku/>
              <w:wordWrap/>
              <w:overflowPunct/>
              <w:topLinePunct w:val="0"/>
              <w:autoSpaceDE/>
              <w:autoSpaceDN/>
              <w:bidi w:val="0"/>
              <w:adjustRightInd w:val="0"/>
              <w:spacing w:line="360" w:lineRule="auto"/>
              <w:ind w:left="417" w:leftChars="0" w:hanging="417" w:hangingChars="174"/>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开户银行：中国农业银行佛山三水蓝湾支行</w:t>
            </w:r>
          </w:p>
          <w:p>
            <w:pPr>
              <w:keepNext w:val="0"/>
              <w:keepLines w:val="0"/>
              <w:pageBreakBefore w:val="0"/>
              <w:widowControl w:val="0"/>
              <w:shd w:val="clear" w:color="auto" w:fill="auto"/>
              <w:kinsoku/>
              <w:wordWrap/>
              <w:overflowPunct/>
              <w:topLinePunct w:val="0"/>
              <w:autoSpaceDE/>
              <w:autoSpaceDN/>
              <w:bidi w:val="0"/>
              <w:adjustRightInd w:val="0"/>
              <w:spacing w:line="360" w:lineRule="auto"/>
              <w:ind w:left="417" w:leftChars="0" w:hanging="417" w:hangingChars="174"/>
              <w:textAlignment w:val="auto"/>
              <w:rPr>
                <w:rFonts w:hint="eastAsia" w:ascii="宋体" w:hAnsi="宋体" w:cs="宋体"/>
                <w:color w:val="auto"/>
                <w:kern w:val="0"/>
                <w:sz w:val="24"/>
                <w:highlight w:val="none"/>
              </w:rPr>
            </w:pPr>
            <w:r>
              <w:rPr>
                <w:rFonts w:hint="eastAsia" w:ascii="宋体" w:hAnsi="宋体" w:eastAsia="宋体" w:cs="宋体"/>
                <w:color w:val="auto"/>
                <w:kern w:val="0"/>
                <w:sz w:val="24"/>
                <w:highlight w:val="none"/>
              </w:rPr>
              <w:t>备注：若未能查找开户银行的支行名称的，可汇入总行或营业部。</w:t>
            </w:r>
          </w:p>
          <w:p>
            <w:pPr>
              <w:keepNext w:val="0"/>
              <w:keepLines w:val="0"/>
              <w:pageBreakBefore w:val="0"/>
              <w:widowControl w:val="0"/>
              <w:shd w:val="clear" w:color="auto" w:fill="auto"/>
              <w:kinsoku/>
              <w:wordWrap/>
              <w:overflowPunct/>
              <w:topLinePunct w:val="0"/>
              <w:autoSpaceDE/>
              <w:autoSpaceDN/>
              <w:bidi w:val="0"/>
              <w:adjustRightInd w:val="0"/>
              <w:spacing w:line="348"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5、其它说明：</w:t>
            </w:r>
          </w:p>
          <w:p>
            <w:pPr>
              <w:keepNext w:val="0"/>
              <w:keepLines w:val="0"/>
              <w:pageBreakBefore w:val="0"/>
              <w:widowControl w:val="0"/>
              <w:shd w:val="clear" w:color="auto" w:fill="auto"/>
              <w:kinsoku/>
              <w:wordWrap/>
              <w:overflowPunct/>
              <w:topLinePunct w:val="0"/>
              <w:autoSpaceDE/>
              <w:autoSpaceDN/>
              <w:bidi w:val="0"/>
              <w:adjustRightInd w:val="0"/>
              <w:spacing w:line="348" w:lineRule="auto"/>
              <w:ind w:left="360" w:hanging="360" w:hangingChars="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① </w:t>
            </w:r>
            <w:r>
              <w:rPr>
                <w:rFonts w:hint="eastAsia" w:ascii="宋体" w:hAnsi="宋体" w:eastAsia="宋体" w:cs="宋体"/>
                <w:color w:val="auto"/>
                <w:kern w:val="0"/>
                <w:sz w:val="24"/>
                <w:highlight w:val="none"/>
                <w:lang w:eastAsia="zh-CN"/>
              </w:rPr>
              <w:t>供应商</w:t>
            </w:r>
            <w:r>
              <w:rPr>
                <w:rFonts w:hint="eastAsia" w:ascii="宋体" w:hAnsi="宋体" w:eastAsia="宋体" w:cs="宋体"/>
                <w:color w:val="auto"/>
                <w:kern w:val="0"/>
                <w:sz w:val="24"/>
                <w:highlight w:val="none"/>
              </w:rPr>
              <w:t>未按要求交纳投标保证金的，将拒绝接收其投标文件。</w:t>
            </w:r>
          </w:p>
          <w:p>
            <w:pPr>
              <w:keepNext w:val="0"/>
              <w:keepLines w:val="0"/>
              <w:pageBreakBefore w:val="0"/>
              <w:widowControl w:val="0"/>
              <w:shd w:val="clear" w:color="auto" w:fill="auto"/>
              <w:kinsoku/>
              <w:wordWrap/>
              <w:overflowPunct/>
              <w:topLinePunct w:val="0"/>
              <w:autoSpaceDE/>
              <w:autoSpaceDN/>
              <w:bidi w:val="0"/>
              <w:adjustRightInd w:val="0"/>
              <w:spacing w:line="348" w:lineRule="auto"/>
              <w:ind w:left="360" w:hanging="360" w:hangingChars="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② </w:t>
            </w:r>
            <w:r>
              <w:rPr>
                <w:rFonts w:hint="eastAsia" w:ascii="宋体" w:hAnsi="宋体" w:eastAsia="宋体" w:cs="宋体"/>
                <w:color w:val="auto"/>
                <w:kern w:val="0"/>
                <w:sz w:val="24"/>
                <w:highlight w:val="none"/>
                <w:lang w:eastAsia="zh-CN"/>
              </w:rPr>
              <w:t>供应商</w:t>
            </w:r>
            <w:r>
              <w:rPr>
                <w:rFonts w:hint="eastAsia" w:ascii="宋体" w:hAnsi="宋体" w:eastAsia="宋体" w:cs="宋体"/>
                <w:color w:val="auto"/>
                <w:kern w:val="0"/>
                <w:sz w:val="24"/>
                <w:highlight w:val="none"/>
              </w:rPr>
              <w:t>应在汇款或转账凭证上注明</w:t>
            </w:r>
            <w:r>
              <w:rPr>
                <w:rFonts w:hint="eastAsia" w:ascii="宋体" w:hAnsi="宋体" w:eastAsia="宋体" w:cs="宋体"/>
                <w:color w:val="auto"/>
                <w:kern w:val="0"/>
                <w:sz w:val="24"/>
                <w:highlight w:val="none"/>
                <w:lang w:val="en-US" w:eastAsia="zh-CN"/>
              </w:rPr>
              <w:t>所投采购包</w:t>
            </w:r>
            <w:r>
              <w:rPr>
                <w:rFonts w:hint="eastAsia" w:ascii="宋体" w:hAnsi="宋体" w:eastAsia="宋体" w:cs="宋体"/>
                <w:b/>
                <w:bCs/>
                <w:color w:val="auto"/>
                <w:kern w:val="0"/>
                <w:sz w:val="24"/>
                <w:highlight w:val="none"/>
                <w:u w:val="none"/>
                <w:lang w:val="en-US" w:eastAsia="zh-CN"/>
              </w:rPr>
              <w:t>，如：</w:t>
            </w:r>
            <w:r>
              <w:rPr>
                <w:rFonts w:hint="eastAsia" w:ascii="宋体" w:hAnsi="宋体" w:cs="宋体"/>
                <w:b/>
                <w:bCs/>
                <w:color w:val="auto"/>
                <w:kern w:val="0"/>
                <w:sz w:val="24"/>
                <w:highlight w:val="none"/>
                <w:u w:val="none"/>
                <w:lang w:val="en-US" w:eastAsia="zh-CN"/>
              </w:rPr>
              <w:t>第二次</w:t>
            </w:r>
            <w:r>
              <w:rPr>
                <w:rFonts w:hint="eastAsia" w:ascii="宋体" w:hAnsi="宋体" w:eastAsia="宋体" w:cs="宋体"/>
                <w:b/>
                <w:bCs/>
                <w:color w:val="auto"/>
                <w:kern w:val="0"/>
                <w:sz w:val="24"/>
                <w:highlight w:val="none"/>
                <w:u w:val="single"/>
                <w:lang w:val="en-US" w:eastAsia="zh-CN"/>
              </w:rPr>
              <w:t>包</w:t>
            </w:r>
            <w:r>
              <w:rPr>
                <w:rFonts w:hint="eastAsia" w:ascii="宋体" w:hAnsi="宋体" w:cs="宋体"/>
                <w:b/>
                <w:bCs/>
                <w:color w:val="auto"/>
                <w:kern w:val="0"/>
                <w:sz w:val="24"/>
                <w:highlight w:val="none"/>
                <w:u w:val="single"/>
                <w:lang w:val="en-US" w:eastAsia="zh-CN"/>
              </w:rPr>
              <w:t>1</w:t>
            </w:r>
            <w:r>
              <w:rPr>
                <w:rFonts w:hint="eastAsia" w:ascii="宋体" w:hAnsi="宋体" w:eastAsia="宋体" w:cs="宋体"/>
                <w:b/>
                <w:bCs/>
                <w:color w:val="auto"/>
                <w:kern w:val="0"/>
                <w:sz w:val="24"/>
                <w:highlight w:val="none"/>
                <w:u w:val="single"/>
                <w:lang w:val="en-US" w:eastAsia="zh-CN"/>
              </w:rPr>
              <w:t>托盘</w:t>
            </w:r>
            <w:r>
              <w:rPr>
                <w:rFonts w:hint="eastAsia" w:ascii="宋体" w:hAnsi="宋体" w:eastAsia="宋体" w:cs="宋体"/>
                <w:b w:val="0"/>
                <w:bCs w:val="0"/>
                <w:color w:val="auto"/>
                <w:kern w:val="0"/>
                <w:sz w:val="24"/>
                <w:highlight w:val="none"/>
                <w:u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pacing w:line="348"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③ 投标保证金</w:t>
            </w:r>
            <w:r>
              <w:rPr>
                <w:rFonts w:hint="eastAsia" w:ascii="宋体" w:hAnsi="宋体" w:eastAsia="宋体" w:cs="宋体"/>
                <w:color w:val="auto"/>
                <w:kern w:val="0"/>
                <w:sz w:val="24"/>
                <w:highlight w:val="none"/>
                <w:lang w:eastAsia="zh-CN"/>
              </w:rPr>
              <w:t>缴纳</w:t>
            </w:r>
            <w:r>
              <w:rPr>
                <w:rFonts w:hint="eastAsia" w:ascii="宋体" w:hAnsi="宋体" w:eastAsia="宋体" w:cs="宋体"/>
                <w:color w:val="auto"/>
                <w:kern w:val="0"/>
                <w:sz w:val="24"/>
                <w:highlight w:val="none"/>
              </w:rPr>
              <w:t>凭证复印件需附在《投标文件》中。</w:t>
            </w:r>
          </w:p>
          <w:p>
            <w:pPr>
              <w:keepNext w:val="0"/>
              <w:keepLines w:val="0"/>
              <w:pageBreakBefore w:val="0"/>
              <w:widowControl w:val="0"/>
              <w:shd w:val="clear" w:color="auto" w:fill="auto"/>
              <w:kinsoku/>
              <w:wordWrap/>
              <w:overflowPunct/>
              <w:topLinePunct w:val="0"/>
              <w:autoSpaceDE/>
              <w:autoSpaceDN/>
              <w:bidi w:val="0"/>
              <w:adjustRightInd w:val="0"/>
              <w:spacing w:line="348"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④ 付款单位名称必须与</w:t>
            </w:r>
            <w:r>
              <w:rPr>
                <w:rFonts w:hint="eastAsia" w:ascii="宋体" w:hAnsi="宋体" w:eastAsia="宋体" w:cs="宋体"/>
                <w:color w:val="auto"/>
                <w:kern w:val="0"/>
                <w:sz w:val="24"/>
                <w:highlight w:val="none"/>
                <w:lang w:eastAsia="zh-CN"/>
              </w:rPr>
              <w:t>供应商</w:t>
            </w:r>
            <w:r>
              <w:rPr>
                <w:rFonts w:hint="eastAsia" w:ascii="宋体" w:hAnsi="宋体" w:eastAsia="宋体" w:cs="宋体"/>
                <w:color w:val="auto"/>
                <w:kern w:val="0"/>
                <w:sz w:val="24"/>
                <w:highlight w:val="none"/>
              </w:rPr>
              <w:t>名称一致。</w:t>
            </w:r>
          </w:p>
          <w:p>
            <w:pPr>
              <w:keepNext w:val="0"/>
              <w:keepLines w:val="0"/>
              <w:pageBreakBefore w:val="0"/>
              <w:widowControl w:val="0"/>
              <w:shd w:val="clear" w:color="auto" w:fill="auto"/>
              <w:kinsoku/>
              <w:wordWrap/>
              <w:overflowPunct/>
              <w:topLinePunct w:val="0"/>
              <w:autoSpaceDE/>
              <w:autoSpaceDN/>
              <w:bidi w:val="0"/>
              <w:adjustRightInd w:val="0"/>
              <w:spacing w:line="348"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⑤ 递交投标文件现场不收取任何形式的投标保证金。</w:t>
            </w:r>
          </w:p>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b w:val="0"/>
                <w:bCs w:val="0"/>
                <w:color w:val="auto"/>
                <w:kern w:val="0"/>
                <w:sz w:val="24"/>
                <w:highlight w:val="none"/>
                <w:lang w:val="en-US" w:eastAsia="zh-CN"/>
              </w:rPr>
            </w:pPr>
            <w:r>
              <w:rPr>
                <w:rFonts w:hint="eastAsia" w:ascii="宋体" w:hAnsi="宋体" w:eastAsia="宋体" w:cs="宋体"/>
                <w:b w:val="0"/>
                <w:bCs w:val="0"/>
                <w:color w:val="auto"/>
                <w:kern w:val="0"/>
                <w:sz w:val="24"/>
                <w:highlight w:val="none"/>
                <w:lang w:val="en-US" w:eastAsia="zh-CN"/>
              </w:rPr>
              <w:t>5、</w:t>
            </w:r>
            <w:r>
              <w:rPr>
                <w:rFonts w:hint="eastAsia" w:ascii="宋体" w:hAnsi="宋体" w:eastAsia="宋体" w:cs="宋体"/>
                <w:b w:val="0"/>
                <w:bCs w:val="0"/>
                <w:color w:val="auto"/>
                <w:kern w:val="0"/>
                <w:sz w:val="24"/>
                <w:highlight w:val="none"/>
              </w:rPr>
              <w:t>投标保证金有效期</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kern w:val="0"/>
                <w:sz w:val="24"/>
                <w:highlight w:val="none"/>
              </w:rPr>
              <w:t>与投标有效期一致。</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6、</w:t>
            </w:r>
            <w:r>
              <w:rPr>
                <w:rFonts w:hint="eastAsia" w:ascii="宋体" w:hAnsi="宋体" w:eastAsia="宋体" w:cs="宋体"/>
                <w:b w:val="0"/>
                <w:bCs w:val="0"/>
                <w:color w:val="auto"/>
                <w:kern w:val="0"/>
                <w:sz w:val="24"/>
                <w:szCs w:val="24"/>
                <w:highlight w:val="none"/>
                <w:lang w:eastAsia="zh-CN"/>
              </w:rPr>
              <w:t>投标保证金</w:t>
            </w:r>
            <w:r>
              <w:rPr>
                <w:rFonts w:hint="eastAsia" w:ascii="宋体" w:hAnsi="宋体" w:eastAsia="宋体" w:cs="宋体"/>
                <w:b w:val="0"/>
                <w:bCs w:val="0"/>
                <w:color w:val="auto"/>
                <w:kern w:val="0"/>
                <w:sz w:val="24"/>
                <w:szCs w:val="24"/>
                <w:highlight w:val="none"/>
              </w:rPr>
              <w:t>的退还</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GB"/>
              </w:rPr>
              <w:t>未中标的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的投标保证金在中标通知书发出之日起5个工作日内退还</w:t>
            </w:r>
            <w:r>
              <w:rPr>
                <w:rFonts w:hint="eastAsia" w:ascii="宋体" w:hAnsi="宋体" w:eastAsia="宋体" w:cs="宋体"/>
                <w:color w:val="auto"/>
                <w:kern w:val="0"/>
                <w:sz w:val="24"/>
                <w:szCs w:val="24"/>
                <w:highlight w:val="none"/>
              </w:rPr>
              <w:t>；</w:t>
            </w:r>
          </w:p>
          <w:p>
            <w:pPr>
              <w:keepNext w:val="0"/>
              <w:keepLines w:val="0"/>
              <w:pageBreakBefore w:val="0"/>
              <w:widowControl w:val="0"/>
              <w:shd w:val="clear" w:color="auto" w:fill="auto"/>
              <w:kinsoku/>
              <w:wordWrap/>
              <w:overflowPunct/>
              <w:topLinePunct w:val="0"/>
              <w:autoSpaceDE/>
              <w:autoSpaceDN/>
              <w:bidi w:val="0"/>
              <w:adjustRightInd w:val="0"/>
              <w:spacing w:before="0" w:after="0" w:line="360" w:lineRule="auto"/>
              <w:ind w:left="0" w:leftChars="0"/>
              <w:jc w:val="both"/>
              <w:textAlignment w:val="auto"/>
              <w:rPr>
                <w:rFonts w:hint="eastAsia" w:ascii="宋体" w:hAnsi="宋体" w:eastAsia="宋体" w:cs="宋体"/>
                <w:color w:val="auto"/>
                <w:spacing w:val="0"/>
                <w:szCs w:val="24"/>
                <w:highlight w:val="none"/>
                <w:lang w:val="en-US" w:eastAsia="zh-CN"/>
              </w:rPr>
            </w:pPr>
            <w:r>
              <w:rPr>
                <w:rFonts w:hint="eastAsia" w:ascii="宋体" w:hAnsi="宋体" w:eastAsia="宋体" w:cs="宋体"/>
                <w:color w:val="auto"/>
                <w:kern w:val="0"/>
                <w:sz w:val="24"/>
                <w:szCs w:val="24"/>
                <w:highlight w:val="none"/>
              </w:rPr>
              <w:t>（2）中标人的</w:t>
            </w:r>
            <w:r>
              <w:rPr>
                <w:rFonts w:hint="eastAsia" w:ascii="宋体" w:hAnsi="宋体" w:eastAsia="宋体" w:cs="宋体"/>
                <w:color w:val="auto"/>
                <w:kern w:val="0"/>
                <w:sz w:val="24"/>
                <w:szCs w:val="24"/>
                <w:highlight w:val="none"/>
                <w:lang w:eastAsia="zh-CN"/>
              </w:rPr>
              <w:t>投标保证金</w:t>
            </w:r>
            <w:r>
              <w:rPr>
                <w:rFonts w:hint="eastAsia" w:ascii="宋体" w:hAnsi="宋体" w:eastAsia="宋体" w:cs="宋体"/>
                <w:color w:val="auto"/>
                <w:kern w:val="0"/>
                <w:sz w:val="24"/>
                <w:szCs w:val="24"/>
                <w:highlight w:val="none"/>
              </w:rPr>
              <w:t>,在中标人与</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签订了合同后</w:t>
            </w:r>
            <w:r>
              <w:rPr>
                <w:rFonts w:hint="eastAsia" w:ascii="宋体" w:hAnsi="宋体" w:eastAsia="宋体" w:cs="宋体"/>
                <w:color w:val="auto"/>
                <w:kern w:val="0"/>
                <w:sz w:val="24"/>
                <w:szCs w:val="24"/>
                <w:highlight w:val="none"/>
                <w:lang w:val="en-US" w:eastAsia="zh-CN"/>
              </w:rPr>
              <w:t>5个工作日内</w:t>
            </w:r>
            <w:r>
              <w:rPr>
                <w:rFonts w:hint="eastAsia" w:ascii="宋体" w:hAnsi="宋体" w:eastAsia="宋体" w:cs="宋体"/>
                <w:color w:val="auto"/>
                <w:kern w:val="0"/>
                <w:sz w:val="24"/>
                <w:szCs w:val="24"/>
                <w:highlight w:val="none"/>
              </w:rPr>
              <w:t>退还。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签字和盖章要求</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招标文件提供的“投标文件格式”中规定要求签字、盖章的地方均须由文件指定</w:t>
            </w:r>
            <w:r>
              <w:rPr>
                <w:rFonts w:hint="eastAsia" w:ascii="宋体" w:hAnsi="宋体" w:eastAsia="宋体" w:cs="宋体"/>
                <w:color w:val="auto"/>
                <w:kern w:val="0"/>
                <w:sz w:val="24"/>
                <w:highlight w:val="none"/>
                <w:lang w:eastAsia="zh-CN"/>
              </w:rPr>
              <w:t>授权</w:t>
            </w:r>
            <w:r>
              <w:rPr>
                <w:rFonts w:hint="eastAsia" w:ascii="宋体" w:hAnsi="宋体" w:eastAsia="宋体" w:cs="宋体"/>
                <w:color w:val="auto"/>
                <w:kern w:val="0"/>
                <w:sz w:val="24"/>
                <w:highlight w:val="none"/>
              </w:rPr>
              <w:t>的人员亲笔签字或签章、并加盖</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公章（不得使用其他代章）。投标文件装订成册后须逐页盖章或加盖骑缝章（加盖的骑缝章须涵盖整册投标文件）。</w:t>
            </w:r>
          </w:p>
          <w:p>
            <w:pPr>
              <w:pStyle w:val="118"/>
              <w:keepNext w:val="0"/>
              <w:keepLines w:val="0"/>
              <w:pageBreakBefore w:val="0"/>
              <w:widowControl w:val="0"/>
              <w:shd w:val="clear" w:color="auto" w:fill="auto"/>
              <w:kinsoku/>
              <w:wordWrap/>
              <w:overflowPunct/>
              <w:topLinePunct w:val="0"/>
              <w:autoSpaceDE/>
              <w:autoSpaceDN/>
              <w:bidi w:val="0"/>
              <w:spacing w:line="360" w:lineRule="auto"/>
              <w:textAlignment w:val="auto"/>
              <w:rPr>
                <w:rFonts w:hint="eastAsia" w:ascii="宋体" w:hAnsi="宋体" w:eastAsia="宋体" w:cs="宋体"/>
                <w:color w:val="auto"/>
                <w:spacing w:val="0"/>
                <w:highlight w:val="none"/>
              </w:rPr>
            </w:pPr>
            <w:r>
              <w:rPr>
                <w:rFonts w:hint="eastAsia" w:ascii="宋体" w:hAnsi="宋体" w:eastAsia="宋体" w:cs="宋体"/>
                <w:b/>
                <w:color w:val="auto"/>
                <w:spacing w:val="0"/>
                <w:sz w:val="22"/>
                <w:szCs w:val="22"/>
                <w:highlight w:val="none"/>
              </w:rPr>
              <w:t>注：副本可以是正本签字盖章后的复印件，但必须清晰可辨，复印的副本应加盖骑缝章。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143" w:rightChars="-68"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投标文件的</w:t>
            </w:r>
          </w:p>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数量要求</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纸质版：</w:t>
            </w:r>
            <w:r>
              <w:rPr>
                <w:rFonts w:hint="eastAsia" w:ascii="宋体" w:hAnsi="宋体" w:eastAsia="宋体" w:cs="宋体"/>
                <w:b/>
                <w:bCs/>
                <w:color w:val="auto"/>
                <w:kern w:val="0"/>
                <w:sz w:val="24"/>
                <w:highlight w:val="none"/>
              </w:rPr>
              <w:t>正本</w:t>
            </w:r>
            <w:r>
              <w:rPr>
                <w:rFonts w:hint="eastAsia" w:ascii="宋体" w:hAnsi="宋体" w:eastAsia="宋体" w:cs="宋体"/>
                <w:b/>
                <w:bCs/>
                <w:color w:val="auto"/>
                <w:kern w:val="0"/>
                <w:sz w:val="24"/>
                <w:highlight w:val="none"/>
                <w:u w:val="single"/>
              </w:rPr>
              <w:t xml:space="preserve"> 一 </w:t>
            </w:r>
            <w:r>
              <w:rPr>
                <w:rFonts w:hint="eastAsia" w:ascii="宋体" w:hAnsi="宋体" w:eastAsia="宋体" w:cs="宋体"/>
                <w:b/>
                <w:bCs/>
                <w:color w:val="auto"/>
                <w:kern w:val="0"/>
                <w:sz w:val="24"/>
                <w:highlight w:val="none"/>
              </w:rPr>
              <w:t>份，副本</w:t>
            </w:r>
            <w:r>
              <w:rPr>
                <w:rFonts w:hint="eastAsia" w:ascii="宋体" w:hAnsi="宋体" w:eastAsia="宋体" w:cs="宋体"/>
                <w:b/>
                <w:bCs/>
                <w:color w:val="auto"/>
                <w:kern w:val="0"/>
                <w:sz w:val="24"/>
                <w:highlight w:val="none"/>
                <w:u w:val="single"/>
              </w:rPr>
              <w:t xml:space="preserve"> </w:t>
            </w:r>
            <w:r>
              <w:rPr>
                <w:rFonts w:hint="eastAsia" w:ascii="宋体" w:hAnsi="宋体" w:eastAsia="宋体" w:cs="宋体"/>
                <w:b/>
                <w:bCs/>
                <w:color w:val="auto"/>
                <w:kern w:val="0"/>
                <w:sz w:val="24"/>
                <w:highlight w:val="none"/>
                <w:u w:val="single"/>
                <w:lang w:eastAsia="zh-CN"/>
              </w:rPr>
              <w:t>四</w:t>
            </w:r>
            <w:r>
              <w:rPr>
                <w:rFonts w:hint="eastAsia" w:ascii="宋体" w:hAnsi="宋体" w:eastAsia="宋体" w:cs="宋体"/>
                <w:b/>
                <w:bCs/>
                <w:color w:val="auto"/>
                <w:kern w:val="0"/>
                <w:sz w:val="24"/>
                <w:highlight w:val="none"/>
                <w:u w:val="single"/>
              </w:rPr>
              <w:t xml:space="preserve"> </w:t>
            </w:r>
            <w:r>
              <w:rPr>
                <w:rFonts w:hint="eastAsia" w:ascii="宋体" w:hAnsi="宋体" w:eastAsia="宋体" w:cs="宋体"/>
                <w:b/>
                <w:bCs/>
                <w:color w:val="auto"/>
                <w:kern w:val="0"/>
                <w:sz w:val="24"/>
                <w:highlight w:val="none"/>
              </w:rPr>
              <w:t>份，共</w:t>
            </w:r>
            <w:r>
              <w:rPr>
                <w:rFonts w:hint="eastAsia" w:ascii="宋体" w:hAnsi="宋体" w:eastAsia="宋体" w:cs="宋体"/>
                <w:b/>
                <w:bCs/>
                <w:color w:val="auto"/>
                <w:kern w:val="0"/>
                <w:sz w:val="24"/>
                <w:highlight w:val="none"/>
                <w:u w:val="single"/>
              </w:rPr>
              <w:t xml:space="preserve"> </w:t>
            </w:r>
            <w:r>
              <w:rPr>
                <w:rFonts w:hint="eastAsia" w:ascii="宋体" w:hAnsi="宋体" w:eastAsia="宋体" w:cs="宋体"/>
                <w:b/>
                <w:bCs/>
                <w:color w:val="auto"/>
                <w:kern w:val="0"/>
                <w:sz w:val="24"/>
                <w:highlight w:val="none"/>
                <w:u w:val="single"/>
                <w:lang w:eastAsia="zh-CN"/>
              </w:rPr>
              <w:t>五</w:t>
            </w:r>
            <w:r>
              <w:rPr>
                <w:rFonts w:hint="eastAsia" w:ascii="宋体" w:hAnsi="宋体" w:eastAsia="宋体" w:cs="宋体"/>
                <w:b/>
                <w:bCs/>
                <w:color w:val="auto"/>
                <w:kern w:val="0"/>
                <w:sz w:val="24"/>
                <w:highlight w:val="none"/>
                <w:u w:val="single"/>
              </w:rPr>
              <w:t xml:space="preserve"> </w:t>
            </w:r>
            <w:r>
              <w:rPr>
                <w:rFonts w:hint="eastAsia" w:ascii="宋体" w:hAnsi="宋体" w:eastAsia="宋体" w:cs="宋体"/>
                <w:b/>
                <w:bCs/>
                <w:color w:val="auto"/>
                <w:kern w:val="0"/>
                <w:sz w:val="24"/>
                <w:highlight w:val="none"/>
              </w:rPr>
              <w:t>份。</w:t>
            </w:r>
          </w:p>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b/>
                <w:bCs/>
                <w:color w:val="auto"/>
                <w:kern w:val="0"/>
                <w:sz w:val="24"/>
                <w:highlight w:val="none"/>
              </w:rPr>
            </w:pPr>
            <w:r>
              <w:rPr>
                <w:rFonts w:hint="eastAsia" w:ascii="宋体" w:hAnsi="宋体" w:eastAsia="宋体" w:cs="宋体"/>
                <w:color w:val="auto"/>
                <w:kern w:val="0"/>
                <w:sz w:val="24"/>
                <w:highlight w:val="none"/>
              </w:rPr>
              <w:t>电子版：</w:t>
            </w:r>
            <w:r>
              <w:rPr>
                <w:rFonts w:hint="eastAsia" w:ascii="宋体" w:hAnsi="宋体" w:eastAsia="宋体" w:cs="宋体"/>
                <w:b/>
                <w:bCs/>
                <w:color w:val="auto"/>
                <w:kern w:val="0"/>
                <w:sz w:val="24"/>
                <w:highlight w:val="none"/>
                <w:u w:val="single"/>
              </w:rPr>
              <w:t xml:space="preserve"> 一 </w:t>
            </w:r>
            <w:r>
              <w:rPr>
                <w:rFonts w:hint="eastAsia" w:ascii="宋体" w:hAnsi="宋体" w:eastAsia="宋体" w:cs="宋体"/>
                <w:b/>
                <w:bCs/>
                <w:color w:val="auto"/>
                <w:kern w:val="0"/>
                <w:sz w:val="24"/>
                <w:highlight w:val="none"/>
              </w:rPr>
              <w:t>份。</w:t>
            </w:r>
          </w:p>
          <w:p>
            <w:pPr>
              <w:pStyle w:val="118"/>
              <w:keepNext w:val="0"/>
              <w:keepLines w:val="0"/>
              <w:pageBreakBefore w:val="0"/>
              <w:widowControl w:val="0"/>
              <w:shd w:val="clear" w:color="auto" w:fill="auto"/>
              <w:kinsoku/>
              <w:wordWrap/>
              <w:overflowPunct/>
              <w:topLinePunct w:val="0"/>
              <w:autoSpaceDE/>
              <w:autoSpaceDN/>
              <w:bidi w:val="0"/>
              <w:adjustRightInd w:val="0"/>
              <w:spacing w:before="0" w:after="0" w:line="360" w:lineRule="auto"/>
              <w:textAlignment w:val="auto"/>
              <w:rPr>
                <w:rFonts w:hint="eastAsia" w:ascii="宋体" w:hAnsi="宋体" w:eastAsia="宋体" w:cs="宋体"/>
                <w:b/>
                <w:color w:val="auto"/>
                <w:spacing w:val="0"/>
                <w:highlight w:val="none"/>
              </w:rPr>
            </w:pPr>
            <w:r>
              <w:rPr>
                <w:rFonts w:hint="eastAsia" w:ascii="宋体" w:hAnsi="宋体" w:eastAsia="宋体" w:cs="宋体"/>
                <w:bCs w:val="0"/>
                <w:color w:val="auto"/>
                <w:spacing w:val="0"/>
                <w:szCs w:val="24"/>
                <w:highlight w:val="none"/>
              </w:rPr>
              <w:t>唱标信封：</w:t>
            </w:r>
            <w:r>
              <w:rPr>
                <w:rFonts w:hint="eastAsia" w:ascii="宋体" w:hAnsi="宋体" w:eastAsia="宋体" w:cs="宋体"/>
                <w:b/>
                <w:color w:val="auto"/>
                <w:spacing w:val="0"/>
                <w:szCs w:val="24"/>
                <w:highlight w:val="none"/>
                <w:u w:val="single"/>
              </w:rPr>
              <w:t xml:space="preserve"> 一 </w:t>
            </w:r>
            <w:r>
              <w:rPr>
                <w:rFonts w:hint="eastAsia" w:ascii="宋体" w:hAnsi="宋体" w:eastAsia="宋体" w:cs="宋体"/>
                <w:b/>
                <w:color w:val="auto"/>
                <w:spacing w:val="0"/>
                <w:szCs w:val="24"/>
                <w:highlight w:val="none"/>
              </w:rPr>
              <w:t>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投标文件电子版要求</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rPr>
              <w:t>同时递交投标文件电子版</w:t>
            </w:r>
          </w:p>
          <w:p>
            <w:pPr>
              <w:keepNext w:val="0"/>
              <w:keepLines w:val="0"/>
              <w:pageBreakBefore w:val="0"/>
              <w:widowControl w:val="0"/>
              <w:shd w:val="clear" w:color="auto" w:fill="auto"/>
              <w:kinsoku/>
              <w:wordWrap/>
              <w:overflowPunct/>
              <w:topLinePunct w:val="0"/>
              <w:autoSpaceDE/>
              <w:autoSpaceDN/>
              <w:bidi w:val="0"/>
              <w:adjustRightIn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不要求</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72" w:leftChars="-1" w:hanging="374" w:hangingChars="156"/>
              <w:textAlignment w:val="auto"/>
              <w:rPr>
                <w:rFonts w:hint="eastAsia" w:ascii="宋体" w:hAnsi="宋体" w:eastAsia="宋体" w:cs="宋体"/>
                <w:color w:val="auto"/>
                <w:kern w:val="0"/>
                <w:sz w:val="24"/>
                <w:highlight w:val="none"/>
              </w:rPr>
            </w:pPr>
            <w:r>
              <w:rPr>
                <w:rFonts w:hint="eastAsia" w:ascii="宋体" w:hAnsi="宋体" w:eastAsia="宋体" w:cs="宋体"/>
                <w:snapToGrid w:val="0"/>
                <w:color w:val="auto"/>
                <w:kern w:val="0"/>
                <w:sz w:val="24"/>
                <w:highlight w:val="none"/>
              </w:rPr>
              <w:fldChar w:fldCharType="begin"/>
            </w:r>
            <w:r>
              <w:rPr>
                <w:rFonts w:hint="eastAsia" w:ascii="宋体" w:hAnsi="宋体" w:eastAsia="宋体" w:cs="宋体"/>
                <w:snapToGrid w:val="0"/>
                <w:color w:val="auto"/>
                <w:kern w:val="0"/>
                <w:sz w:val="24"/>
                <w:highlight w:val="none"/>
              </w:rPr>
              <w:instrText xml:space="preserve"> eq \o\ac(□,√)</w:instrText>
            </w:r>
            <w:r>
              <w:rPr>
                <w:rFonts w:hint="eastAsia" w:ascii="宋体" w:hAnsi="宋体" w:eastAsia="宋体" w:cs="宋体"/>
                <w:snapToGrid w:val="0"/>
                <w:color w:val="auto"/>
                <w:kern w:val="0"/>
                <w:sz w:val="24"/>
                <w:highlight w:val="none"/>
              </w:rPr>
              <w:fldChar w:fldCharType="end"/>
            </w:r>
            <w:r>
              <w:rPr>
                <w:rFonts w:hint="eastAsia" w:ascii="宋体" w:hAnsi="宋体" w:eastAsia="宋体" w:cs="宋体"/>
                <w:color w:val="auto"/>
                <w:kern w:val="0"/>
                <w:sz w:val="24"/>
                <w:highlight w:val="none"/>
              </w:rPr>
              <w:t xml:space="preserve"> 要求，投标文件电子版内容：</w:t>
            </w:r>
            <w:r>
              <w:rPr>
                <w:rFonts w:hint="eastAsia" w:ascii="宋体" w:hAnsi="宋体" w:eastAsia="宋体" w:cs="宋体"/>
                <w:color w:val="auto"/>
                <w:kern w:val="0"/>
                <w:sz w:val="24"/>
                <w:highlight w:val="none"/>
                <w:u w:val="single"/>
              </w:rPr>
              <w:t>投标文件正本的所有内容。</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372" w:firstLineChars="155"/>
              <w:textAlignment w:val="auto"/>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投标文件电子版形式：</w:t>
            </w:r>
            <w:r>
              <w:rPr>
                <w:rFonts w:hint="eastAsia" w:ascii="宋体" w:hAnsi="宋体" w:eastAsia="宋体" w:cs="宋体"/>
                <w:color w:val="auto"/>
                <w:kern w:val="0"/>
                <w:sz w:val="24"/>
                <w:highlight w:val="none"/>
                <w:u w:val="single"/>
              </w:rPr>
              <w:t>以光盘或U盘为载体。</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372" w:firstLineChars="155"/>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投标文件电子版格式：</w:t>
            </w:r>
            <w:r>
              <w:rPr>
                <w:rFonts w:hint="eastAsia" w:ascii="宋体" w:hAnsi="宋体" w:eastAsia="宋体" w:cs="宋体"/>
                <w:b/>
                <w:color w:val="auto"/>
                <w:kern w:val="0"/>
                <w:sz w:val="24"/>
                <w:highlight w:val="none"/>
                <w:u w:val="single"/>
              </w:rPr>
              <w:t>可编辑的WORD格式</w:t>
            </w:r>
            <w:r>
              <w:rPr>
                <w:rFonts w:hint="eastAsia" w:ascii="宋体" w:hAnsi="宋体" w:eastAsia="宋体" w:cs="宋体"/>
                <w:b/>
                <w:color w:val="auto"/>
                <w:kern w:val="0"/>
                <w:sz w:val="24"/>
                <w:highlight w:val="none"/>
                <w:u w:val="single"/>
                <w:lang w:eastAsia="zh-CN"/>
              </w:rPr>
              <w:t>一份以及正本盖章</w:t>
            </w:r>
            <w:r>
              <w:rPr>
                <w:rFonts w:hint="eastAsia" w:ascii="宋体" w:hAnsi="宋体" w:eastAsia="宋体" w:cs="宋体"/>
                <w:b/>
                <w:color w:val="auto"/>
                <w:kern w:val="0"/>
                <w:sz w:val="24"/>
                <w:highlight w:val="none"/>
                <w:u w:val="single"/>
                <w:lang w:val="en-US" w:eastAsia="zh-CN"/>
              </w:rPr>
              <w:t>PDF</w:t>
            </w:r>
            <w:r>
              <w:rPr>
                <w:rFonts w:hint="eastAsia" w:ascii="宋体" w:hAnsi="宋体" w:eastAsia="宋体" w:cs="宋体"/>
                <w:b/>
                <w:color w:val="auto"/>
                <w:kern w:val="0"/>
                <w:sz w:val="24"/>
                <w:highlight w:val="none"/>
                <w:u w:val="single"/>
                <w:lang w:eastAsia="zh-CN"/>
              </w:rPr>
              <w:t>扫描版一份</w:t>
            </w:r>
            <w:r>
              <w:rPr>
                <w:rFonts w:hint="eastAsia" w:ascii="宋体" w:hAnsi="宋体" w:eastAsia="宋体" w:cs="宋体"/>
                <w:color w:val="auto"/>
                <w:kern w:val="0"/>
                <w:sz w:val="24"/>
                <w:highlight w:val="none"/>
                <w:u w:val="single"/>
              </w:rPr>
              <w:t>。对分项明细报价的，报价部分可单独采用ExceL格式。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投标文件的</w:t>
            </w:r>
          </w:p>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装订要求</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投标文件应按以下要求装订：</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color w:val="auto"/>
                <w:kern w:val="0"/>
                <w:sz w:val="24"/>
                <w:highlight w:val="none"/>
              </w:rPr>
            </w:pPr>
            <w:r>
              <w:rPr>
                <w:rFonts w:hint="eastAsia" w:ascii="宋体" w:hAnsi="宋体" w:eastAsia="宋体" w:cs="宋体"/>
                <w:snapToGrid w:val="0"/>
                <w:color w:val="auto"/>
                <w:kern w:val="0"/>
                <w:sz w:val="24"/>
                <w:highlight w:val="none"/>
              </w:rPr>
              <w:fldChar w:fldCharType="begin"/>
            </w:r>
            <w:r>
              <w:rPr>
                <w:rFonts w:hint="eastAsia" w:ascii="宋体" w:hAnsi="宋体" w:eastAsia="宋体" w:cs="宋体"/>
                <w:snapToGrid w:val="0"/>
                <w:color w:val="auto"/>
                <w:kern w:val="0"/>
                <w:sz w:val="24"/>
                <w:highlight w:val="none"/>
              </w:rPr>
              <w:instrText xml:space="preserve"> eq \o\ac(□,√)</w:instrText>
            </w:r>
            <w:r>
              <w:rPr>
                <w:rFonts w:hint="eastAsia" w:ascii="宋体" w:hAnsi="宋体" w:eastAsia="宋体" w:cs="宋体"/>
                <w:snapToGrid w:val="0"/>
                <w:color w:val="auto"/>
                <w:kern w:val="0"/>
                <w:sz w:val="24"/>
                <w:highlight w:val="none"/>
              </w:rPr>
              <w:fldChar w:fldCharType="end"/>
            </w:r>
            <w:r>
              <w:rPr>
                <w:rFonts w:hint="eastAsia" w:ascii="宋体" w:hAnsi="宋体" w:eastAsia="宋体" w:cs="宋体"/>
                <w:color w:val="auto"/>
                <w:kern w:val="0"/>
                <w:sz w:val="24"/>
                <w:highlight w:val="none"/>
              </w:rPr>
              <w:t xml:space="preserve"> 不分册装订，统一将每份投标文件装订成一册。</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分册装订，共分</w:t>
            </w:r>
            <w:r>
              <w:rPr>
                <w:rFonts w:hint="eastAsia" w:ascii="宋体" w:hAnsi="宋体" w:eastAsia="宋体" w:cs="宋体"/>
                <w:color w:val="auto"/>
                <w:kern w:val="0"/>
                <w:sz w:val="24"/>
                <w:highlight w:val="none"/>
                <w:u w:val="single"/>
              </w:rPr>
              <w:t xml:space="preserve"> / </w:t>
            </w:r>
            <w:r>
              <w:rPr>
                <w:rFonts w:hint="eastAsia" w:ascii="宋体" w:hAnsi="宋体" w:eastAsia="宋体" w:cs="宋体"/>
                <w:color w:val="auto"/>
                <w:kern w:val="0"/>
                <w:sz w:val="24"/>
                <w:highlight w:val="none"/>
              </w:rPr>
              <w:t>册，分别为：</w:t>
            </w:r>
            <w:r>
              <w:rPr>
                <w:rFonts w:hint="eastAsia" w:ascii="宋体" w:hAnsi="宋体" w:eastAsia="宋体" w:cs="宋体"/>
                <w:color w:val="auto"/>
                <w:kern w:val="0"/>
                <w:sz w:val="24"/>
                <w:highlight w:val="none"/>
                <w:u w:val="single"/>
              </w:rPr>
              <w:t xml:space="preserve"> / </w:t>
            </w:r>
            <w:r>
              <w:rPr>
                <w:rFonts w:hint="eastAsia" w:ascii="宋体" w:hAnsi="宋体" w:eastAsia="宋体" w:cs="宋体"/>
                <w:color w:val="auto"/>
                <w:kern w:val="0"/>
                <w:sz w:val="24"/>
                <w:highlight w:val="none"/>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19" w:hanging="319" w:hangingChars="133"/>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采用</w:t>
            </w:r>
            <w:r>
              <w:rPr>
                <w:rFonts w:hint="eastAsia" w:ascii="宋体" w:hAnsi="宋体" w:eastAsia="宋体" w:cs="宋体"/>
                <w:color w:val="auto"/>
                <w:kern w:val="0"/>
                <w:sz w:val="24"/>
                <w:highlight w:val="none"/>
                <w:u w:val="single"/>
              </w:rPr>
              <w:t xml:space="preserve"> 书式 </w:t>
            </w:r>
            <w:r>
              <w:rPr>
                <w:rFonts w:hint="eastAsia" w:ascii="宋体" w:hAnsi="宋体" w:eastAsia="宋体" w:cs="宋体"/>
                <w:color w:val="auto"/>
                <w:kern w:val="0"/>
                <w:sz w:val="24"/>
                <w:highlight w:val="none"/>
              </w:rPr>
              <w:t>方式装订，装订应牢固、不易拆散和换页，不得采用活页装订。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投标文件的</w:t>
            </w:r>
          </w:p>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密封要求</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ind w:left="-1" w:leftChars="-1" w:hanging="1"/>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rPr>
              <w:t>投标时递交的</w:t>
            </w:r>
            <w:r>
              <w:rPr>
                <w:rFonts w:hint="eastAsia" w:ascii="宋体" w:hAnsi="宋体" w:eastAsia="宋体" w:cs="宋体"/>
                <w:b/>
                <w:color w:val="auto"/>
                <w:kern w:val="0"/>
                <w:sz w:val="24"/>
                <w:highlight w:val="none"/>
              </w:rPr>
              <w:t>投标文件</w:t>
            </w:r>
            <w:r>
              <w:rPr>
                <w:rFonts w:hint="eastAsia" w:ascii="宋体" w:hAnsi="宋体" w:eastAsia="宋体" w:cs="宋体"/>
                <w:b/>
                <w:bCs/>
                <w:color w:val="auto"/>
                <w:kern w:val="0"/>
                <w:sz w:val="24"/>
                <w:highlight w:val="none"/>
              </w:rPr>
              <w:t>由以下</w:t>
            </w:r>
            <w:r>
              <w:rPr>
                <w:rFonts w:hint="eastAsia" w:ascii="宋体" w:hAnsi="宋体" w:eastAsia="宋体" w:cs="宋体"/>
                <w:b/>
                <w:bCs/>
                <w:color w:val="auto"/>
                <w:kern w:val="0"/>
                <w:sz w:val="24"/>
                <w:highlight w:val="none"/>
                <w:u w:val="single"/>
              </w:rPr>
              <w:t xml:space="preserve"> 3 </w:t>
            </w:r>
            <w:r>
              <w:rPr>
                <w:rFonts w:hint="eastAsia" w:ascii="宋体" w:hAnsi="宋体" w:eastAsia="宋体" w:cs="宋体"/>
                <w:b/>
                <w:bCs/>
                <w:color w:val="auto"/>
                <w:kern w:val="0"/>
                <w:sz w:val="24"/>
                <w:highlight w:val="none"/>
              </w:rPr>
              <w:t>部分组成</w:t>
            </w:r>
            <w:r>
              <w:rPr>
                <w:rFonts w:hint="eastAsia" w:ascii="宋体" w:hAnsi="宋体" w:eastAsia="宋体" w:cs="宋体"/>
                <w:color w:val="auto"/>
                <w:kern w:val="0"/>
                <w:sz w:val="24"/>
                <w:highlight w:val="none"/>
              </w:rPr>
              <w:t>，其标记和密封要求如下：</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60" w:hanging="360" w:hangingChars="150"/>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snapToGrid w:val="0"/>
                <w:color w:val="auto"/>
                <w:kern w:val="0"/>
                <w:sz w:val="24"/>
                <w:highlight w:val="none"/>
              </w:rPr>
              <w:fldChar w:fldCharType="begin"/>
            </w:r>
            <w:r>
              <w:rPr>
                <w:rFonts w:hint="eastAsia" w:ascii="宋体" w:hAnsi="宋体" w:eastAsia="宋体" w:cs="宋体"/>
                <w:snapToGrid w:val="0"/>
                <w:color w:val="auto"/>
                <w:kern w:val="0"/>
                <w:sz w:val="24"/>
                <w:highlight w:val="none"/>
              </w:rPr>
              <w:instrText xml:space="preserve"> eq \o\ac(□,√)</w:instrText>
            </w:r>
            <w:r>
              <w:rPr>
                <w:rFonts w:hint="eastAsia" w:ascii="宋体" w:hAnsi="宋体" w:eastAsia="宋体" w:cs="宋体"/>
                <w:snapToGrid w:val="0"/>
                <w:color w:val="auto"/>
                <w:kern w:val="0"/>
                <w:sz w:val="24"/>
                <w:highlight w:val="none"/>
              </w:rPr>
              <w:fldChar w:fldCharType="end"/>
            </w:r>
            <w:r>
              <w:rPr>
                <w:rFonts w:hint="eastAsia" w:ascii="宋体" w:hAnsi="宋体" w:eastAsia="宋体" w:cs="宋体"/>
                <w:color w:val="auto"/>
                <w:kern w:val="0"/>
                <w:sz w:val="24"/>
                <w:highlight w:val="none"/>
              </w:rPr>
              <w:t xml:space="preserve"> 投标文件的正本与副本，投标文件封面应注明“正本”、“副本”字样，一般使用一个密封封套进行包装，确有需要可分多个密封封套包装。</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60" w:hanging="360" w:hangingChars="150"/>
              <w:textAlignment w:val="auto"/>
              <w:rPr>
                <w:rFonts w:hint="eastAsia" w:ascii="宋体" w:hAnsi="宋体" w:eastAsia="宋体" w:cs="宋体"/>
                <w:color w:val="auto"/>
                <w:kern w:val="0"/>
                <w:sz w:val="24"/>
                <w:highlight w:val="none"/>
              </w:rPr>
            </w:pPr>
            <w:r>
              <w:rPr>
                <w:rFonts w:hint="eastAsia" w:ascii="宋体" w:hAnsi="宋体" w:eastAsia="宋体" w:cs="宋体"/>
                <w:snapToGrid w:val="0"/>
                <w:color w:val="auto"/>
                <w:kern w:val="0"/>
                <w:sz w:val="24"/>
                <w:highlight w:val="none"/>
              </w:rPr>
              <w:fldChar w:fldCharType="begin"/>
            </w:r>
            <w:r>
              <w:rPr>
                <w:rFonts w:hint="eastAsia" w:ascii="宋体" w:hAnsi="宋体" w:eastAsia="宋体" w:cs="宋体"/>
                <w:snapToGrid w:val="0"/>
                <w:color w:val="auto"/>
                <w:kern w:val="0"/>
                <w:sz w:val="24"/>
                <w:highlight w:val="none"/>
              </w:rPr>
              <w:instrText xml:space="preserve"> eq \o\ac(□,√)</w:instrText>
            </w:r>
            <w:r>
              <w:rPr>
                <w:rFonts w:hint="eastAsia" w:ascii="宋体" w:hAnsi="宋体" w:eastAsia="宋体" w:cs="宋体"/>
                <w:snapToGrid w:val="0"/>
                <w:color w:val="auto"/>
                <w:kern w:val="0"/>
                <w:sz w:val="24"/>
                <w:highlight w:val="none"/>
              </w:rPr>
              <w:fldChar w:fldCharType="end"/>
            </w:r>
            <w:r>
              <w:rPr>
                <w:rFonts w:hint="eastAsia" w:ascii="宋体" w:hAnsi="宋体" w:eastAsia="宋体" w:cs="宋体"/>
                <w:color w:val="auto"/>
                <w:kern w:val="0"/>
                <w:sz w:val="24"/>
                <w:highlight w:val="none"/>
              </w:rPr>
              <w:t xml:space="preserve"> 投标文件电子版：以光盘或U盘为载体，使用一个密封封套进行包装。</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60" w:hanging="360" w:hangingChars="150"/>
              <w:textAlignment w:val="auto"/>
              <w:rPr>
                <w:rFonts w:hint="eastAsia" w:ascii="宋体" w:hAnsi="宋体" w:eastAsia="宋体" w:cs="宋体"/>
                <w:color w:val="auto"/>
                <w:kern w:val="0"/>
                <w:sz w:val="24"/>
                <w:highlight w:val="none"/>
              </w:rPr>
            </w:pPr>
            <w:r>
              <w:rPr>
                <w:rFonts w:hint="eastAsia" w:ascii="宋体" w:hAnsi="宋体" w:eastAsia="宋体" w:cs="宋体"/>
                <w:snapToGrid w:val="0"/>
                <w:color w:val="auto"/>
                <w:kern w:val="0"/>
                <w:sz w:val="24"/>
                <w:highlight w:val="none"/>
              </w:rPr>
              <w:fldChar w:fldCharType="begin"/>
            </w:r>
            <w:r>
              <w:rPr>
                <w:rFonts w:hint="eastAsia" w:ascii="宋体" w:hAnsi="宋体" w:eastAsia="宋体" w:cs="宋体"/>
                <w:snapToGrid w:val="0"/>
                <w:color w:val="auto"/>
                <w:kern w:val="0"/>
                <w:sz w:val="24"/>
                <w:highlight w:val="none"/>
              </w:rPr>
              <w:instrText xml:space="preserve"> eq \o\ac(□,√)</w:instrText>
            </w:r>
            <w:r>
              <w:rPr>
                <w:rFonts w:hint="eastAsia" w:ascii="宋体" w:hAnsi="宋体" w:eastAsia="宋体" w:cs="宋体"/>
                <w:snapToGrid w:val="0"/>
                <w:color w:val="auto"/>
                <w:kern w:val="0"/>
                <w:sz w:val="24"/>
                <w:highlight w:val="none"/>
              </w:rPr>
              <w:fldChar w:fldCharType="end"/>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eastAsia="zh-CN"/>
              </w:rPr>
              <w:t>唱标信封</w:t>
            </w:r>
            <w:r>
              <w:rPr>
                <w:rFonts w:hint="eastAsia" w:ascii="宋体" w:hAnsi="宋体" w:eastAsia="宋体" w:cs="宋体"/>
                <w:color w:val="auto"/>
                <w:kern w:val="0"/>
                <w:sz w:val="24"/>
                <w:highlight w:val="none"/>
              </w:rPr>
              <w:t>文件：使用一个密封封套进行包装。</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其它：</w:t>
            </w:r>
            <w:r>
              <w:rPr>
                <w:rFonts w:hint="eastAsia" w:ascii="宋体" w:hAnsi="宋体" w:eastAsia="宋体" w:cs="宋体"/>
                <w:color w:val="auto"/>
                <w:kern w:val="0"/>
                <w:sz w:val="24"/>
                <w:highlight w:val="none"/>
                <w:u w:val="single"/>
              </w:rPr>
              <w:t xml:space="preserve">  /  </w:t>
            </w:r>
            <w:r>
              <w:rPr>
                <w:rFonts w:hint="eastAsia" w:ascii="宋体" w:hAnsi="宋体" w:eastAsia="宋体" w:cs="宋体"/>
                <w:color w:val="auto"/>
                <w:kern w:val="0"/>
                <w:sz w:val="24"/>
                <w:highlight w:val="none"/>
              </w:rPr>
              <w:t>。</w:t>
            </w:r>
          </w:p>
          <w:p>
            <w:pPr>
              <w:keepNext w:val="0"/>
              <w:keepLines w:val="0"/>
              <w:pageBreakBefore w:val="0"/>
              <w:widowControl w:val="0"/>
              <w:shd w:val="clear" w:color="auto" w:fill="auto"/>
              <w:kinsoku/>
              <w:wordWrap/>
              <w:overflowPunct/>
              <w:topLinePunct w:val="0"/>
              <w:autoSpaceDE/>
              <w:autoSpaceDN/>
              <w:bidi w:val="0"/>
              <w:adjustRightInd w:val="0"/>
              <w:spacing w:line="360" w:lineRule="auto"/>
              <w:ind w:left="1"/>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2"/>
                <w:szCs w:val="22"/>
                <w:highlight w:val="none"/>
              </w:rPr>
              <w:t>备注：</w:t>
            </w:r>
          </w:p>
          <w:p>
            <w:pPr>
              <w:keepNext w:val="0"/>
              <w:keepLines w:val="0"/>
              <w:pageBreakBefore w:val="0"/>
              <w:widowControl w:val="0"/>
              <w:shd w:val="clear" w:color="auto" w:fill="auto"/>
              <w:kinsoku/>
              <w:wordWrap/>
              <w:overflowPunct/>
              <w:topLinePunct w:val="0"/>
              <w:autoSpaceDE/>
              <w:autoSpaceDN/>
              <w:bidi w:val="0"/>
              <w:adjustRightInd w:val="0"/>
              <w:spacing w:line="360" w:lineRule="auto"/>
              <w:ind w:left="442" w:hanging="442" w:hangingChars="200"/>
              <w:textAlignment w:val="auto"/>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1</w:t>
            </w:r>
            <w:r>
              <w:rPr>
                <w:rFonts w:hint="eastAsia" w:ascii="宋体" w:hAnsi="宋体" w:cs="宋体"/>
                <w:b/>
                <w:bCs/>
                <w:color w:val="auto"/>
                <w:kern w:val="0"/>
                <w:sz w:val="22"/>
                <w:szCs w:val="22"/>
                <w:highlight w:val="none"/>
                <w:lang w:val="en-US" w:eastAsia="zh-CN"/>
              </w:rPr>
              <w:t>、</w:t>
            </w:r>
            <w:r>
              <w:rPr>
                <w:rFonts w:hint="eastAsia" w:ascii="宋体" w:hAnsi="宋体" w:eastAsia="宋体" w:cs="宋体"/>
                <w:b/>
                <w:bCs/>
                <w:color w:val="auto"/>
                <w:kern w:val="0"/>
                <w:sz w:val="22"/>
                <w:szCs w:val="22"/>
                <w:highlight w:val="none"/>
              </w:rPr>
              <w:t>在包装封套的封口处加盖</w:t>
            </w:r>
            <w:r>
              <w:rPr>
                <w:rFonts w:hint="eastAsia" w:ascii="宋体" w:hAnsi="宋体" w:cs="宋体"/>
                <w:b/>
                <w:bCs/>
                <w:color w:val="auto"/>
                <w:kern w:val="0"/>
                <w:sz w:val="22"/>
                <w:szCs w:val="22"/>
                <w:highlight w:val="none"/>
                <w:lang w:eastAsia="zh-CN"/>
              </w:rPr>
              <w:t>投标人</w:t>
            </w:r>
            <w:r>
              <w:rPr>
                <w:rFonts w:hint="eastAsia" w:ascii="宋体" w:hAnsi="宋体" w:eastAsia="宋体" w:cs="宋体"/>
                <w:b/>
                <w:bCs/>
                <w:color w:val="auto"/>
                <w:kern w:val="0"/>
                <w:sz w:val="22"/>
                <w:szCs w:val="22"/>
                <w:highlight w:val="none"/>
              </w:rPr>
              <w:t>公章。</w:t>
            </w:r>
          </w:p>
          <w:p>
            <w:pPr>
              <w:keepNext w:val="0"/>
              <w:keepLines w:val="0"/>
              <w:pageBreakBefore w:val="0"/>
              <w:widowControl w:val="0"/>
              <w:shd w:val="clear" w:color="auto" w:fill="auto"/>
              <w:kinsoku/>
              <w:wordWrap/>
              <w:overflowPunct/>
              <w:topLinePunct w:val="0"/>
              <w:autoSpaceDE/>
              <w:autoSpaceDN/>
              <w:bidi w:val="0"/>
              <w:adjustRightInd w:val="0"/>
              <w:spacing w:line="360" w:lineRule="auto"/>
              <w:ind w:left="442" w:hanging="442" w:hangingChars="200"/>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2"/>
                <w:szCs w:val="22"/>
                <w:highlight w:val="none"/>
              </w:rPr>
              <w:t>2</w:t>
            </w:r>
            <w:r>
              <w:rPr>
                <w:rFonts w:hint="eastAsia" w:ascii="宋体" w:hAnsi="宋体" w:cs="宋体"/>
                <w:b/>
                <w:color w:val="auto"/>
                <w:kern w:val="0"/>
                <w:sz w:val="22"/>
                <w:szCs w:val="22"/>
                <w:highlight w:val="none"/>
                <w:lang w:val="en-US" w:eastAsia="zh-CN"/>
              </w:rPr>
              <w:t>、</w:t>
            </w:r>
            <w:r>
              <w:rPr>
                <w:rFonts w:hint="eastAsia" w:ascii="宋体" w:hAnsi="宋体" w:eastAsia="宋体" w:cs="宋体"/>
                <w:b/>
                <w:color w:val="auto"/>
                <w:kern w:val="0"/>
                <w:sz w:val="22"/>
                <w:szCs w:val="22"/>
                <w:highlight w:val="none"/>
              </w:rPr>
              <w:t>投标文件的密封</w:t>
            </w:r>
            <w:r>
              <w:rPr>
                <w:rFonts w:hint="eastAsia" w:ascii="宋体" w:hAnsi="宋体" w:eastAsia="宋体" w:cs="宋体"/>
                <w:b/>
                <w:color w:val="auto"/>
                <w:kern w:val="0"/>
                <w:sz w:val="22"/>
                <w:szCs w:val="22"/>
                <w:highlight w:val="none"/>
                <w:lang w:eastAsia="zh-CN"/>
              </w:rPr>
              <w:t>包装</w:t>
            </w:r>
            <w:r>
              <w:rPr>
                <w:rFonts w:hint="eastAsia" w:ascii="宋体" w:hAnsi="宋体" w:eastAsia="宋体" w:cs="宋体"/>
                <w:b/>
                <w:color w:val="auto"/>
                <w:kern w:val="0"/>
                <w:sz w:val="22"/>
                <w:szCs w:val="22"/>
                <w:highlight w:val="none"/>
              </w:rPr>
              <w:t>标记及格式详见本文的《文件包装袋封面标贴格式》，若未按上述规定进行密封及标记的，采购人或代理机构有权不予受理。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独立</w:t>
            </w:r>
            <w:r>
              <w:rPr>
                <w:rFonts w:hint="eastAsia" w:ascii="宋体" w:hAnsi="宋体" w:eastAsia="宋体" w:cs="宋体"/>
                <w:color w:val="auto"/>
                <w:kern w:val="0"/>
                <w:sz w:val="24"/>
                <w:highlight w:val="none"/>
                <w:lang w:eastAsia="zh-CN"/>
              </w:rPr>
              <w:t>包组</w:t>
            </w:r>
            <w:r>
              <w:rPr>
                <w:rFonts w:hint="eastAsia" w:ascii="宋体" w:hAnsi="宋体" w:eastAsia="宋体" w:cs="宋体"/>
                <w:color w:val="auto"/>
                <w:kern w:val="0"/>
                <w:sz w:val="24"/>
                <w:highlight w:val="none"/>
              </w:rPr>
              <w:t>选择</w:t>
            </w:r>
          </w:p>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及其文件制作</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 w:leftChars="-1" w:hanging="1"/>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 xml:space="preserve"> 本项目属于独立项目，不存在独立</w:t>
            </w:r>
            <w:r>
              <w:rPr>
                <w:rFonts w:hint="eastAsia" w:ascii="宋体" w:hAnsi="宋体" w:eastAsia="宋体" w:cs="宋体"/>
                <w:color w:val="auto"/>
                <w:kern w:val="0"/>
                <w:sz w:val="24"/>
                <w:highlight w:val="none"/>
                <w:lang w:eastAsia="zh-CN"/>
              </w:rPr>
              <w:t>包组</w:t>
            </w:r>
            <w:r>
              <w:rPr>
                <w:rFonts w:hint="eastAsia" w:ascii="宋体" w:hAnsi="宋体" w:eastAsia="宋体" w:cs="宋体"/>
                <w:color w:val="auto"/>
                <w:kern w:val="0"/>
                <w:sz w:val="24"/>
                <w:highlight w:val="none"/>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60" w:hanging="360" w:hangingChars="150"/>
              <w:textAlignment w:val="auto"/>
              <w:rPr>
                <w:rFonts w:hint="eastAsia" w:ascii="宋体" w:hAnsi="宋体" w:eastAsia="宋体" w:cs="宋体"/>
                <w:color w:val="auto"/>
                <w:kern w:val="0"/>
                <w:sz w:val="24"/>
                <w:highlight w:val="none"/>
              </w:rPr>
            </w:pPr>
            <w:r>
              <w:rPr>
                <w:rFonts w:hint="eastAsia" w:ascii="宋体" w:hAnsi="宋体" w:cs="宋体"/>
                <w:snapToGrid w:val="0"/>
                <w:color w:val="auto"/>
                <w:kern w:val="0"/>
                <w:sz w:val="24"/>
                <w:highlight w:val="none"/>
                <w:lang w:eastAsia="zh-CN"/>
              </w:rPr>
              <w:t>☑</w:t>
            </w:r>
            <w:r>
              <w:rPr>
                <w:rFonts w:hint="eastAsia" w:ascii="宋体" w:hAnsi="宋体" w:eastAsia="宋体" w:cs="宋体"/>
                <w:color w:val="auto"/>
                <w:kern w:val="0"/>
                <w:sz w:val="24"/>
                <w:highlight w:val="none"/>
              </w:rPr>
              <w:t xml:space="preserve"> </w:t>
            </w:r>
            <w:r>
              <w:rPr>
                <w:rFonts w:hint="eastAsia" w:ascii="宋体" w:hAnsi="宋体" w:eastAsia="宋体" w:cs="宋体"/>
                <w:b/>
                <w:bCs/>
                <w:color w:val="auto"/>
                <w:kern w:val="0"/>
                <w:sz w:val="24"/>
                <w:highlight w:val="none"/>
              </w:rPr>
              <w:t>本项目共包括</w:t>
            </w:r>
            <w:r>
              <w:rPr>
                <w:rFonts w:hint="eastAsia" w:ascii="宋体" w:hAnsi="宋体" w:eastAsia="宋体" w:cs="宋体"/>
                <w:b/>
                <w:bCs/>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1</w:t>
            </w:r>
            <w:r>
              <w:rPr>
                <w:rFonts w:hint="eastAsia" w:ascii="宋体" w:hAnsi="宋体" w:eastAsia="宋体" w:cs="宋体"/>
                <w:b/>
                <w:bCs/>
                <w:color w:val="auto"/>
                <w:kern w:val="0"/>
                <w:sz w:val="24"/>
                <w:highlight w:val="none"/>
                <w:u w:val="single"/>
              </w:rPr>
              <w:t xml:space="preserve"> </w:t>
            </w:r>
            <w:r>
              <w:rPr>
                <w:rFonts w:hint="eastAsia" w:ascii="宋体" w:hAnsi="宋体" w:eastAsia="宋体" w:cs="宋体"/>
                <w:b/>
                <w:bCs/>
                <w:color w:val="auto"/>
                <w:kern w:val="0"/>
                <w:sz w:val="24"/>
                <w:highlight w:val="none"/>
              </w:rPr>
              <w:t>个独立</w:t>
            </w:r>
            <w:r>
              <w:rPr>
                <w:rFonts w:hint="eastAsia" w:ascii="宋体" w:hAnsi="宋体" w:eastAsia="宋体" w:cs="宋体"/>
                <w:b/>
                <w:bCs/>
                <w:color w:val="auto"/>
                <w:kern w:val="0"/>
                <w:sz w:val="24"/>
                <w:highlight w:val="none"/>
                <w:lang w:eastAsia="zh-CN"/>
              </w:rPr>
              <w:t>包组</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rPr>
              <w:t>可选择投报一个或以上独立分包，但不能将独立</w:t>
            </w:r>
            <w:r>
              <w:rPr>
                <w:rFonts w:hint="eastAsia" w:ascii="宋体" w:hAnsi="宋体" w:eastAsia="宋体" w:cs="宋体"/>
                <w:color w:val="auto"/>
                <w:kern w:val="0"/>
                <w:sz w:val="24"/>
                <w:highlight w:val="none"/>
                <w:lang w:eastAsia="zh-CN"/>
              </w:rPr>
              <w:t>包组</w:t>
            </w:r>
            <w:r>
              <w:rPr>
                <w:rFonts w:hint="eastAsia" w:ascii="宋体" w:hAnsi="宋体" w:eastAsia="宋体" w:cs="宋体"/>
                <w:color w:val="auto"/>
                <w:kern w:val="0"/>
                <w:sz w:val="24"/>
                <w:highlight w:val="none"/>
              </w:rPr>
              <w:t>进行拆分或合并，</w:t>
            </w:r>
            <w:r>
              <w:rPr>
                <w:rFonts w:hint="eastAsia" w:ascii="宋体" w:hAnsi="宋体" w:eastAsia="宋体" w:cs="宋体"/>
                <w:b/>
                <w:bCs/>
                <w:color w:val="auto"/>
                <w:kern w:val="0"/>
                <w:sz w:val="24"/>
                <w:highlight w:val="none"/>
                <w:u w:val="single"/>
              </w:rPr>
              <w:t>投标文件应按照</w:t>
            </w:r>
            <w:r>
              <w:rPr>
                <w:rFonts w:hint="eastAsia" w:ascii="宋体" w:hAnsi="宋体" w:eastAsia="宋体" w:cs="宋体"/>
                <w:b/>
                <w:bCs/>
                <w:color w:val="auto"/>
                <w:kern w:val="0"/>
                <w:sz w:val="24"/>
                <w:highlight w:val="none"/>
                <w:u w:val="single"/>
                <w:lang w:eastAsia="zh-CN"/>
              </w:rPr>
              <w:t>包组</w:t>
            </w:r>
            <w:r>
              <w:rPr>
                <w:rFonts w:hint="eastAsia" w:ascii="宋体" w:hAnsi="宋体" w:eastAsia="宋体" w:cs="宋体"/>
                <w:b/>
                <w:bCs/>
                <w:color w:val="auto"/>
                <w:kern w:val="0"/>
                <w:sz w:val="24"/>
                <w:highlight w:val="none"/>
                <w:u w:val="single"/>
              </w:rPr>
              <w:t>独立编制、封装</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GB"/>
              </w:rPr>
              <w:t>即递交投标文件时，每个</w:t>
            </w:r>
            <w:r>
              <w:rPr>
                <w:rFonts w:hint="eastAsia" w:ascii="宋体" w:hAnsi="宋体" w:eastAsia="宋体" w:cs="宋体"/>
                <w:color w:val="auto"/>
                <w:kern w:val="0"/>
                <w:sz w:val="24"/>
                <w:highlight w:val="none"/>
                <w:lang w:val="en-GB" w:eastAsia="zh-CN"/>
              </w:rPr>
              <w:t>包组</w:t>
            </w:r>
            <w:r>
              <w:rPr>
                <w:rFonts w:hint="eastAsia" w:ascii="宋体" w:hAnsi="宋体" w:eastAsia="宋体" w:cs="宋体"/>
                <w:color w:val="auto"/>
                <w:kern w:val="0"/>
                <w:sz w:val="24"/>
                <w:highlight w:val="none"/>
                <w:lang w:val="en-GB"/>
              </w:rPr>
              <w:t>均须按其内容，提供一套独立包装的投标文件。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构成投标文件的其他材料</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60" w:hanging="360" w:hangingChars="150"/>
              <w:textAlignment w:val="auto"/>
              <w:rPr>
                <w:rFonts w:hint="eastAsia" w:ascii="宋体" w:hAnsi="宋体" w:eastAsia="宋体" w:cs="宋体"/>
                <w:color w:val="auto"/>
                <w:kern w:val="0"/>
                <w:sz w:val="24"/>
                <w:highlight w:val="none"/>
              </w:rPr>
            </w:pPr>
            <w:r>
              <w:rPr>
                <w:rFonts w:hint="eastAsia" w:ascii="宋体" w:hAnsi="宋体" w:eastAsia="宋体" w:cs="宋体"/>
                <w:snapToGrid w:val="0"/>
                <w:color w:val="auto"/>
                <w:kern w:val="0"/>
                <w:sz w:val="24"/>
                <w:highlight w:val="none"/>
              </w:rPr>
              <w:fldChar w:fldCharType="begin"/>
            </w:r>
            <w:r>
              <w:rPr>
                <w:rFonts w:hint="eastAsia" w:ascii="宋体" w:hAnsi="宋体" w:eastAsia="宋体" w:cs="宋体"/>
                <w:snapToGrid w:val="0"/>
                <w:color w:val="auto"/>
                <w:kern w:val="0"/>
                <w:sz w:val="24"/>
                <w:highlight w:val="none"/>
              </w:rPr>
              <w:instrText xml:space="preserve"> eq \o\ac(□,√)</w:instrText>
            </w:r>
            <w:r>
              <w:rPr>
                <w:rFonts w:hint="eastAsia" w:ascii="宋体" w:hAnsi="宋体" w:eastAsia="宋体" w:cs="宋体"/>
                <w:snapToGrid w:val="0"/>
                <w:color w:val="auto"/>
                <w:kern w:val="0"/>
                <w:sz w:val="24"/>
                <w:highlight w:val="none"/>
              </w:rPr>
              <w:fldChar w:fldCharType="end"/>
            </w:r>
            <w:r>
              <w:rPr>
                <w:rFonts w:hint="eastAsia" w:ascii="宋体" w:hAnsi="宋体" w:eastAsia="宋体" w:cs="宋体"/>
                <w:color w:val="auto"/>
                <w:kern w:val="0"/>
                <w:sz w:val="24"/>
                <w:highlight w:val="none"/>
              </w:rPr>
              <w:t xml:space="preserve"> 符合本招标文件要求和相关法律法规要求，</w:t>
            </w: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rPr>
              <w:t>现场提交的澄清、说明或者纠正文件，但不得超出投标文件的范围或者改变投标文件的实质性内容。</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样板，提交样板的内容包括：</w:t>
            </w:r>
            <w:r>
              <w:rPr>
                <w:rFonts w:hint="eastAsia" w:ascii="宋体" w:hAnsi="宋体" w:eastAsia="宋体" w:cs="宋体"/>
                <w:color w:val="auto"/>
                <w:kern w:val="0"/>
                <w:sz w:val="24"/>
                <w:highlight w:val="none"/>
                <w:u w:val="single"/>
              </w:rPr>
              <w:t xml:space="preserve">         /         </w:t>
            </w:r>
            <w:r>
              <w:rPr>
                <w:rFonts w:hint="eastAsia" w:ascii="宋体" w:hAnsi="宋体" w:eastAsia="宋体" w:cs="宋体"/>
                <w:color w:val="auto"/>
                <w:kern w:val="0"/>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rPr>
              <w:t>全权代表的身份证明要求</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hanging="7"/>
              <w:textAlignment w:val="auto"/>
              <w:rPr>
                <w:rFonts w:hint="eastAsia" w:ascii="宋体" w:hAnsi="宋体" w:eastAsia="宋体" w:cs="宋体"/>
                <w:b/>
                <w:color w:val="auto"/>
                <w:kern w:val="0"/>
                <w:sz w:val="24"/>
                <w:highlight w:val="none"/>
              </w:rPr>
            </w:pPr>
            <w:r>
              <w:rPr>
                <w:rFonts w:hint="eastAsia" w:ascii="宋体" w:hAnsi="宋体" w:cs="宋体"/>
                <w:b/>
                <w:color w:val="auto"/>
                <w:kern w:val="0"/>
                <w:sz w:val="24"/>
                <w:highlight w:val="none"/>
                <w:lang w:eastAsia="zh-CN"/>
              </w:rPr>
              <w:t>投标人</w:t>
            </w:r>
            <w:r>
              <w:rPr>
                <w:rFonts w:hint="eastAsia" w:ascii="宋体" w:hAnsi="宋体" w:eastAsia="宋体" w:cs="宋体"/>
                <w:b/>
                <w:color w:val="auto"/>
                <w:kern w:val="0"/>
                <w:sz w:val="24"/>
                <w:highlight w:val="none"/>
              </w:rPr>
              <w:t>的全权代表递交投标文件时应携带相应的证明材料，并符合以下任意一项要求：</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07" w:hanging="307" w:hangingChars="128"/>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的法定代表人的身份证明文件包括：法定代表人资格证明书原件、本人身份证原件。</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07" w:hanging="307" w:hangingChars="128"/>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授权代理人的身份证明文件包括：法定代表人资格证明书原件、法定代表人授权书原件、本人身份证原件。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评标委员会的组建</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60" w:hanging="360" w:hangingChars="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评标委员会的构成：共</w:t>
            </w:r>
            <w:r>
              <w:rPr>
                <w:rFonts w:hint="eastAsia" w:ascii="宋体" w:hAnsi="宋体" w:eastAsia="宋体" w:cs="宋体"/>
                <w:color w:val="auto"/>
                <w:kern w:val="0"/>
                <w:sz w:val="24"/>
                <w:highlight w:val="none"/>
                <w:u w:val="single"/>
                <w:lang w:val="en-US" w:eastAsia="zh-CN"/>
              </w:rPr>
              <w:t xml:space="preserve"> 5</w:t>
            </w:r>
            <w:r>
              <w:rPr>
                <w:rFonts w:hint="eastAsia" w:ascii="宋体" w:hAnsi="宋体" w:eastAsia="宋体" w:cs="宋体"/>
                <w:color w:val="auto"/>
                <w:kern w:val="0"/>
                <w:sz w:val="24"/>
                <w:highlight w:val="none"/>
              </w:rPr>
              <w:t>人，由</w:t>
            </w:r>
            <w:r>
              <w:rPr>
                <w:rFonts w:hint="eastAsia" w:ascii="宋体" w:hAnsi="宋体" w:cs="宋体"/>
                <w:color w:val="auto"/>
                <w:kern w:val="0"/>
                <w:sz w:val="24"/>
                <w:highlight w:val="none"/>
                <w:lang w:val="en-US" w:eastAsia="zh-CN"/>
              </w:rPr>
              <w:t>采购人代表</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名以及</w:t>
            </w:r>
            <w:r>
              <w:rPr>
                <w:rFonts w:hint="eastAsia" w:ascii="宋体" w:hAnsi="宋体" w:eastAsia="宋体" w:cs="宋体"/>
                <w:color w:val="auto"/>
                <w:kern w:val="0"/>
                <w:sz w:val="24"/>
                <w:highlight w:val="none"/>
                <w:lang w:eastAsia="zh-CN"/>
              </w:rPr>
              <w:t>有关</w:t>
            </w:r>
            <w:r>
              <w:rPr>
                <w:rFonts w:hint="eastAsia" w:ascii="宋体" w:hAnsi="宋体" w:eastAsia="宋体" w:cs="宋体"/>
                <w:color w:val="auto"/>
                <w:kern w:val="0"/>
                <w:sz w:val="24"/>
                <w:highlight w:val="none"/>
              </w:rPr>
              <w:t>技术、经济等方面的评审专家</w:t>
            </w:r>
            <w:r>
              <w:rPr>
                <w:rFonts w:hint="eastAsia" w:ascii="宋体" w:hAnsi="宋体" w:cs="宋体"/>
                <w:color w:val="auto"/>
                <w:kern w:val="0"/>
                <w:sz w:val="24"/>
                <w:highlight w:val="none"/>
                <w:u w:val="single"/>
                <w:lang w:val="en-US" w:eastAsia="zh-CN"/>
              </w:rPr>
              <w:t xml:space="preserve"> 4 </w:t>
            </w:r>
            <w:r>
              <w:rPr>
                <w:rFonts w:hint="eastAsia" w:ascii="宋体" w:hAnsi="宋体" w:cs="宋体"/>
                <w:color w:val="auto"/>
                <w:kern w:val="0"/>
                <w:sz w:val="24"/>
                <w:highlight w:val="none"/>
                <w:lang w:val="en-US" w:eastAsia="zh-CN"/>
              </w:rPr>
              <w:t>名</w:t>
            </w:r>
            <w:r>
              <w:rPr>
                <w:rFonts w:hint="eastAsia" w:ascii="宋体" w:hAnsi="宋体" w:eastAsia="宋体" w:cs="宋体"/>
                <w:color w:val="auto"/>
                <w:kern w:val="0"/>
                <w:sz w:val="24"/>
                <w:highlight w:val="none"/>
              </w:rPr>
              <w:t>组成</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评审专家</w:t>
            </w:r>
            <w:r>
              <w:rPr>
                <w:rFonts w:hint="eastAsia" w:ascii="宋体" w:hAnsi="宋体" w:eastAsia="宋体" w:cs="宋体"/>
                <w:color w:val="auto"/>
                <w:kern w:val="0"/>
                <w:sz w:val="24"/>
                <w:highlight w:val="none"/>
                <w:lang w:val="zh-CN"/>
              </w:rPr>
              <w:t>从采购评审专家库随机抽取</w:t>
            </w:r>
            <w:r>
              <w:rPr>
                <w:rFonts w:hint="eastAsia" w:ascii="宋体" w:hAnsi="宋体" w:eastAsia="宋体" w:cs="宋体"/>
                <w:color w:val="auto"/>
                <w:kern w:val="0"/>
                <w:sz w:val="24"/>
                <w:highlight w:val="none"/>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60" w:hanging="360" w:hangingChars="150"/>
              <w:textAlignment w:val="auto"/>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2</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评标专家产生方式：</w:t>
            </w:r>
            <w:r>
              <w:rPr>
                <w:rFonts w:hint="eastAsia" w:ascii="宋体" w:hAnsi="宋体" w:eastAsia="宋体" w:cs="宋体"/>
                <w:color w:val="auto"/>
                <w:kern w:val="0"/>
                <w:sz w:val="24"/>
                <w:highlight w:val="none"/>
                <w:lang w:val="zh-CN"/>
              </w:rPr>
              <w:t>从采购评审专家库</w:t>
            </w:r>
            <w:r>
              <w:rPr>
                <w:rFonts w:hint="eastAsia" w:ascii="宋体" w:hAnsi="宋体" w:eastAsia="宋体" w:cs="宋体"/>
                <w:color w:val="auto"/>
                <w:kern w:val="0"/>
                <w:sz w:val="24"/>
                <w:highlight w:val="none"/>
              </w:rPr>
              <w:t>随机抽取产生。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相同品牌产品的处理</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both"/>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提供相同品牌产品且通过资格审查、符合性审查的不同投标人参 加同一标段投标的，按一家投标人计算，评审后得分最高的同品牌投标人获得中标人推荐资格；评审得分相同的，投标报价最低的投标人获得中标人推荐资格，投标报价也相同的，由评标委员会投票决定。非单一产品采购项目中，多家投标人提供的核心产品品牌相同的，视为提供相同品牌产品。</w:t>
            </w:r>
          </w:p>
          <w:p>
            <w:pPr>
              <w:keepNext w:val="0"/>
              <w:keepLines w:val="0"/>
              <w:pageBreakBefore w:val="0"/>
              <w:widowControl w:val="0"/>
              <w:shd w:val="clear" w:color="auto" w:fill="auto"/>
              <w:kinsoku/>
              <w:wordWrap/>
              <w:overflowPunct/>
              <w:topLinePunct w:val="0"/>
              <w:autoSpaceDE/>
              <w:autoSpaceDN/>
              <w:bidi w:val="0"/>
              <w:adjustRightInd w:val="0"/>
              <w:spacing w:line="360" w:lineRule="auto"/>
              <w:jc w:val="both"/>
              <w:textAlignment w:val="auto"/>
              <w:rPr>
                <w:rFonts w:hint="default" w:ascii="宋体" w:hAnsi="宋体" w:eastAsia="宋体" w:cs="宋体"/>
                <w:color w:val="auto"/>
                <w:kern w:val="0"/>
                <w:sz w:val="24"/>
                <w:highlight w:val="none"/>
                <w:lang w:val="en-US" w:eastAsia="zh-CN"/>
              </w:rPr>
            </w:pPr>
            <w:r>
              <w:rPr>
                <w:rFonts w:hint="eastAsia" w:ascii="宋体" w:hAnsi="宋体" w:eastAsia="宋体" w:cs="宋体"/>
                <w:b/>
                <w:bCs/>
                <w:color w:val="auto"/>
                <w:kern w:val="2"/>
                <w:sz w:val="24"/>
                <w:szCs w:val="22"/>
                <w:highlight w:val="none"/>
                <w:lang w:val="en-US" w:eastAsia="zh-CN" w:bidi="ar-SA"/>
              </w:rPr>
              <w:t>本次采购项目的核心产品为：</w:t>
            </w:r>
            <w:r>
              <w:rPr>
                <w:rFonts w:hint="eastAsia" w:ascii="宋体" w:hAnsi="宋体" w:cs="宋体"/>
                <w:b/>
                <w:bCs/>
                <w:color w:val="auto"/>
                <w:kern w:val="2"/>
                <w:sz w:val="24"/>
                <w:szCs w:val="22"/>
                <w:highlight w:val="none"/>
                <w:u w:val="single"/>
                <w:lang w:val="en-US" w:eastAsia="zh-CN" w:bidi="ar-SA"/>
              </w:rPr>
              <w:t xml:space="preserve"> / </w:t>
            </w:r>
            <w:r>
              <w:rPr>
                <w:rFonts w:hint="eastAsia" w:ascii="宋体" w:hAnsi="宋体" w:cs="宋体"/>
                <w:b/>
                <w:bCs/>
                <w:color w:val="auto"/>
                <w:kern w:val="2"/>
                <w:sz w:val="24"/>
                <w:szCs w:val="22"/>
                <w:highlight w:val="none"/>
                <w:u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spacing w:line="360" w:lineRule="auto"/>
              <w:ind w:left="346" w:leftChars="0" w:right="-70" w:rightChars="0" w:hanging="420" w:firstLineChars="0"/>
              <w:jc w:val="center"/>
              <w:rPr>
                <w:rFonts w:hint="eastAsia" w:ascii="宋体" w:hAnsi="宋体" w:eastAsia="宋体" w:cs="宋体"/>
                <w:color w:val="auto"/>
                <w:kern w:val="0"/>
                <w:sz w:val="24"/>
                <w:highlight w:val="none"/>
              </w:rPr>
            </w:pPr>
            <w:r>
              <w:rPr>
                <w:rFonts w:hint="eastAsia" w:ascii="宋体" w:hAnsi="宋体"/>
                <w:bCs/>
                <w:color w:val="auto"/>
                <w:sz w:val="24"/>
                <w:szCs w:val="24"/>
                <w:highlight w:val="none"/>
              </w:rPr>
              <w:t>报价修正</w:t>
            </w:r>
          </w:p>
        </w:tc>
        <w:tc>
          <w:tcPr>
            <w:tcW w:w="7082" w:type="dxa"/>
            <w:tcBorders>
              <w:tl2br w:val="nil"/>
              <w:tr2bl w:val="nil"/>
            </w:tcBorders>
            <w:noWrap w:val="0"/>
            <w:vAlign w:val="center"/>
          </w:tcPr>
          <w:p>
            <w:pPr>
              <w:numPr>
                <w:ilvl w:val="-1"/>
                <w:numId w:val="0"/>
              </w:numPr>
              <w:snapToGrid w:val="0"/>
              <w:spacing w:line="360" w:lineRule="auto"/>
              <w:ind w:left="0" w:right="-73" w:rightChars="-35"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TW"/>
              </w:rPr>
              <w:t>投标文件报价出现前后不一致的，按照下列规定修正：</w:t>
            </w:r>
          </w:p>
          <w:p>
            <w:pPr>
              <w:numPr>
                <w:ilvl w:val="0"/>
                <w:numId w:val="23"/>
              </w:numPr>
              <w:snapToGrid w:val="0"/>
              <w:spacing w:line="360" w:lineRule="auto"/>
              <w:ind w:left="425" w:right="-70" w:hanging="425"/>
              <w:rPr>
                <w:rFonts w:hint="eastAsia" w:ascii="宋体" w:hAnsi="宋体" w:cs="宋体"/>
                <w:color w:val="auto"/>
                <w:sz w:val="24"/>
                <w:szCs w:val="24"/>
                <w:highlight w:val="none"/>
              </w:rPr>
            </w:pPr>
            <w:r>
              <w:rPr>
                <w:rFonts w:hint="eastAsia" w:ascii="宋体" w:hAnsi="宋体" w:cs="宋体"/>
                <w:color w:val="auto"/>
                <w:sz w:val="24"/>
                <w:szCs w:val="24"/>
                <w:highlight w:val="none"/>
                <w:lang w:eastAsia="zh-TW"/>
              </w:rPr>
              <w:t>投标文件中开标一览表（报价表）内容与投标文件中相应内容不一致的，以开标一览表（报价表）为准；</w:t>
            </w:r>
          </w:p>
          <w:p>
            <w:pPr>
              <w:numPr>
                <w:ilvl w:val="0"/>
                <w:numId w:val="23"/>
              </w:numPr>
              <w:snapToGrid w:val="0"/>
              <w:spacing w:line="360" w:lineRule="auto"/>
              <w:ind w:left="425" w:right="-70" w:hanging="425"/>
              <w:rPr>
                <w:rFonts w:hint="eastAsia" w:ascii="宋体" w:hAnsi="宋体" w:cs="宋体"/>
                <w:color w:val="auto"/>
                <w:sz w:val="24"/>
                <w:szCs w:val="24"/>
                <w:highlight w:val="none"/>
              </w:rPr>
            </w:pPr>
            <w:r>
              <w:rPr>
                <w:rFonts w:hint="eastAsia" w:ascii="宋体" w:hAnsi="宋体" w:cs="宋体"/>
                <w:color w:val="auto"/>
                <w:sz w:val="24"/>
                <w:szCs w:val="24"/>
                <w:highlight w:val="none"/>
                <w:lang w:eastAsia="zh-TW"/>
              </w:rPr>
              <w:t>大写金额和小写金额不一致的，以大写金额为准；</w:t>
            </w:r>
          </w:p>
          <w:p>
            <w:pPr>
              <w:numPr>
                <w:ilvl w:val="0"/>
                <w:numId w:val="23"/>
              </w:numPr>
              <w:snapToGrid w:val="0"/>
              <w:spacing w:line="360" w:lineRule="auto"/>
              <w:ind w:left="425" w:right="-70" w:hanging="425"/>
              <w:rPr>
                <w:rFonts w:hint="eastAsia" w:ascii="宋体" w:hAnsi="宋体" w:cs="宋体"/>
                <w:color w:val="auto"/>
                <w:sz w:val="24"/>
                <w:szCs w:val="24"/>
                <w:highlight w:val="none"/>
                <w:lang w:eastAsia="zh-TW"/>
              </w:rPr>
            </w:pPr>
            <w:r>
              <w:rPr>
                <w:rFonts w:hint="eastAsia" w:ascii="宋体" w:hAnsi="宋体" w:cs="宋体"/>
                <w:color w:val="auto"/>
                <w:sz w:val="24"/>
                <w:szCs w:val="24"/>
                <w:highlight w:val="none"/>
                <w:lang w:eastAsia="zh-TW"/>
              </w:rPr>
              <w:t>单价金额小数点或者百分比有明显错位的，以开标一览表的总价为准，并修改单价；</w:t>
            </w:r>
          </w:p>
          <w:p>
            <w:pPr>
              <w:numPr>
                <w:ilvl w:val="0"/>
                <w:numId w:val="23"/>
              </w:numPr>
              <w:snapToGrid w:val="0"/>
              <w:spacing w:line="360" w:lineRule="auto"/>
              <w:ind w:left="425" w:right="-70" w:hanging="425"/>
              <w:rPr>
                <w:rFonts w:hint="eastAsia" w:ascii="宋体" w:hAnsi="宋体" w:cs="宋体"/>
                <w:color w:val="auto"/>
                <w:sz w:val="24"/>
                <w:szCs w:val="24"/>
                <w:highlight w:val="none"/>
              </w:rPr>
            </w:pPr>
            <w:r>
              <w:rPr>
                <w:rFonts w:hint="eastAsia" w:ascii="宋体" w:hAnsi="宋体" w:cs="宋体"/>
                <w:color w:val="auto"/>
                <w:sz w:val="24"/>
                <w:szCs w:val="24"/>
                <w:highlight w:val="none"/>
                <w:lang w:eastAsia="zh-TW"/>
              </w:rPr>
              <w:t>在中标通知书发出前</w:t>
            </w:r>
            <w:r>
              <w:rPr>
                <w:rFonts w:hint="eastAsia" w:ascii="宋体" w:hAnsi="宋体" w:cs="宋体"/>
                <w:color w:val="auto"/>
                <w:sz w:val="24"/>
                <w:szCs w:val="24"/>
                <w:highlight w:val="none"/>
                <w:lang w:val="en-US" w:eastAsia="zh-CN"/>
              </w:rPr>
              <w:t>和发出后</w:t>
            </w:r>
            <w:r>
              <w:rPr>
                <w:rFonts w:hint="eastAsia" w:ascii="宋体" w:hAnsi="宋体" w:cs="宋体"/>
                <w:color w:val="auto"/>
                <w:sz w:val="24"/>
                <w:szCs w:val="24"/>
                <w:highlight w:val="none"/>
                <w:lang w:eastAsia="zh-TW"/>
              </w:rPr>
              <w:t>，若单项价格与总价不符，</w:t>
            </w:r>
            <w:r>
              <w:rPr>
                <w:rFonts w:hint="eastAsia" w:ascii="宋体" w:hAnsi="宋体" w:cs="宋体"/>
                <w:color w:val="auto"/>
                <w:sz w:val="24"/>
                <w:szCs w:val="24"/>
                <w:highlight w:val="none"/>
                <w:lang w:val="en-US" w:eastAsia="zh-CN"/>
              </w:rPr>
              <w:t>均</w:t>
            </w:r>
            <w:r>
              <w:rPr>
                <w:rFonts w:hint="eastAsia" w:ascii="宋体" w:hAnsi="宋体" w:cs="宋体"/>
                <w:color w:val="auto"/>
                <w:sz w:val="24"/>
                <w:szCs w:val="24"/>
                <w:highlight w:val="none"/>
                <w:lang w:eastAsia="zh-TW"/>
              </w:rPr>
              <w:t>以单项价格为准修正总价。</w:t>
            </w:r>
          </w:p>
          <w:p>
            <w:pPr>
              <w:numPr>
                <w:ilvl w:val="-1"/>
                <w:numId w:val="0"/>
              </w:numPr>
              <w:snapToGrid w:val="0"/>
              <w:spacing w:line="360" w:lineRule="auto"/>
              <w:ind w:left="0" w:leftChars="0" w:firstLine="0" w:firstLineChars="0"/>
              <w:rPr>
                <w:rFonts w:hint="eastAsia" w:ascii="宋体" w:hAnsi="宋体" w:eastAsia="宋体" w:cs="宋体"/>
                <w:color w:val="auto"/>
                <w:kern w:val="0"/>
                <w:sz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TW"/>
              </w:rPr>
              <w:t>同时出现两种以上不一致的，按照前款规定的顺序修正。对不同文字文本投标文件的解释发生异议的，以中文文本为准</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TW"/>
              </w:rPr>
              <w:t>修正后的报价经投标人确认后产生约束力，投标人不确认的，其投标无效。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spacing w:line="360" w:lineRule="auto"/>
              <w:ind w:left="346" w:leftChars="0" w:right="-70" w:rightChars="0" w:hanging="420" w:firstLineChars="0"/>
              <w:jc w:val="center"/>
              <w:rPr>
                <w:rFonts w:hint="eastAsia" w:ascii="宋体" w:hAnsi="宋体"/>
                <w:bCs/>
                <w:color w:val="auto"/>
                <w:sz w:val="24"/>
                <w:szCs w:val="24"/>
                <w:highlight w:val="none"/>
              </w:rPr>
            </w:pPr>
            <w:r>
              <w:rPr>
                <w:rFonts w:hint="eastAsia" w:ascii="宋体" w:hAnsi="宋体"/>
                <w:bCs/>
                <w:color w:val="auto"/>
                <w:sz w:val="24"/>
                <w:szCs w:val="24"/>
                <w:highlight w:val="none"/>
              </w:rPr>
              <w:t>评审过程</w:t>
            </w:r>
          </w:p>
        </w:tc>
        <w:tc>
          <w:tcPr>
            <w:tcW w:w="7082" w:type="dxa"/>
            <w:tcBorders>
              <w:tl2br w:val="nil"/>
              <w:tr2bl w:val="nil"/>
            </w:tcBorders>
            <w:noWrap w:val="0"/>
            <w:vAlign w:val="center"/>
          </w:tcPr>
          <w:p>
            <w:pPr>
              <w:numPr>
                <w:ilvl w:val="-1"/>
                <w:numId w:val="0"/>
              </w:numPr>
              <w:spacing w:line="360" w:lineRule="auto"/>
              <w:ind w:left="0" w:firstLine="0"/>
              <w:rPr>
                <w:rFonts w:hint="eastAsia" w:ascii="宋体" w:hAnsi="宋体"/>
                <w:b w:val="0"/>
                <w:bCs w:val="0"/>
                <w:color w:val="auto"/>
                <w:sz w:val="24"/>
                <w:szCs w:val="24"/>
                <w:highlight w:val="none"/>
              </w:rPr>
            </w:pPr>
            <w:r>
              <w:rPr>
                <w:rFonts w:hint="eastAsia" w:ascii="宋体" w:hAnsi="宋体"/>
                <w:b w:val="0"/>
                <w:bCs w:val="0"/>
                <w:color w:val="auto"/>
                <w:sz w:val="24"/>
                <w:szCs w:val="24"/>
                <w:highlight w:val="none"/>
                <w:lang w:val="en-US" w:eastAsia="zh-CN"/>
              </w:rPr>
              <w:t>1、</w:t>
            </w:r>
            <w:r>
              <w:rPr>
                <w:rFonts w:hint="eastAsia" w:ascii="宋体" w:hAnsi="宋体"/>
                <w:b w:val="0"/>
                <w:bCs w:val="0"/>
                <w:color w:val="auto"/>
                <w:sz w:val="24"/>
                <w:szCs w:val="24"/>
                <w:highlight w:val="none"/>
                <w:lang w:eastAsia="zh-TW"/>
              </w:rPr>
              <w:t>评标期间，对投标文件中含义不明确、同类问题表述不一致或者有明显文字和计算错误的内容，评标委员会可以书面形式（应当由评标委员会专家签字）要求投标人作出必要的澄清、说明或者纠正，但</w:t>
            </w:r>
            <w:r>
              <w:rPr>
                <w:rFonts w:hint="eastAsia" w:ascii="宋体" w:hAnsi="宋体"/>
                <w:b w:val="0"/>
                <w:bCs w:val="0"/>
                <w:color w:val="auto"/>
                <w:sz w:val="24"/>
                <w:szCs w:val="24"/>
                <w:highlight w:val="none"/>
              </w:rPr>
              <w:t>不得超出投标文件的范围或者改变投标文件的实质性内容。</w:t>
            </w:r>
          </w:p>
          <w:p>
            <w:pPr>
              <w:numPr>
                <w:ilvl w:val="-1"/>
                <w:numId w:val="0"/>
              </w:numPr>
              <w:spacing w:line="360" w:lineRule="auto"/>
              <w:ind w:left="0" w:firstLine="0"/>
              <w:rPr>
                <w:rFonts w:hint="eastAsia" w:ascii="宋体" w:hAnsi="宋体" w:cs="黑体"/>
                <w:b w:val="0"/>
                <w:bCs w:val="0"/>
                <w:color w:val="auto"/>
                <w:sz w:val="24"/>
                <w:szCs w:val="24"/>
                <w:highlight w:val="none"/>
              </w:rPr>
            </w:pPr>
            <w:r>
              <w:rPr>
                <w:rFonts w:hint="eastAsia" w:ascii="宋体" w:hAnsi="宋体"/>
                <w:b w:val="0"/>
                <w:bCs w:val="0"/>
                <w:color w:val="auto"/>
                <w:sz w:val="24"/>
                <w:szCs w:val="24"/>
                <w:highlight w:val="none"/>
                <w:lang w:val="en-US" w:eastAsia="zh-CN"/>
              </w:rPr>
              <w:t>2、</w:t>
            </w:r>
            <w:r>
              <w:rPr>
                <w:rFonts w:hint="eastAsia" w:ascii="宋体" w:hAnsi="宋体"/>
                <w:b w:val="0"/>
                <w:bCs w:val="0"/>
                <w:color w:val="auto"/>
                <w:sz w:val="24"/>
                <w:szCs w:val="24"/>
                <w:highlight w:val="none"/>
                <w:lang w:eastAsia="zh-TW"/>
              </w:rPr>
              <w:t>投标人的澄清、说明或者补正应当采用书面形式</w:t>
            </w:r>
            <w:r>
              <w:rPr>
                <w:rFonts w:hint="eastAsia" w:ascii="宋体" w:hAnsi="宋体"/>
                <w:b w:val="0"/>
                <w:bCs w:val="0"/>
                <w:color w:val="auto"/>
                <w:sz w:val="24"/>
                <w:szCs w:val="24"/>
                <w:highlight w:val="none"/>
              </w:rPr>
              <w:t>，</w:t>
            </w:r>
            <w:r>
              <w:rPr>
                <w:rFonts w:hint="eastAsia" w:ascii="宋体" w:hAnsi="宋体"/>
                <w:b w:val="0"/>
                <w:bCs w:val="0"/>
                <w:color w:val="auto"/>
                <w:sz w:val="24"/>
                <w:szCs w:val="24"/>
                <w:highlight w:val="none"/>
                <w:lang w:eastAsia="zh-TW"/>
              </w:rPr>
              <w:t>由其授权的代表签字</w:t>
            </w:r>
            <w:r>
              <w:rPr>
                <w:rFonts w:hint="eastAsia" w:ascii="宋体" w:hAnsi="宋体"/>
                <w:b w:val="0"/>
                <w:bCs w:val="0"/>
                <w:color w:val="auto"/>
                <w:sz w:val="24"/>
                <w:szCs w:val="24"/>
                <w:highlight w:val="none"/>
              </w:rPr>
              <w:t>或盖章</w:t>
            </w:r>
            <w:r>
              <w:rPr>
                <w:rFonts w:hint="eastAsia" w:ascii="宋体" w:hAnsi="宋体"/>
                <w:b w:val="0"/>
                <w:bCs w:val="0"/>
                <w:color w:val="auto"/>
                <w:sz w:val="24"/>
                <w:szCs w:val="24"/>
                <w:highlight w:val="none"/>
                <w:lang w:eastAsia="zh-TW"/>
              </w:rPr>
              <w:t>，并不得超出投标文件的范围或者改变投标文件的实质性内容</w:t>
            </w:r>
            <w:r>
              <w:rPr>
                <w:rFonts w:hint="eastAsia" w:ascii="宋体" w:hAnsi="宋体"/>
                <w:b w:val="0"/>
                <w:bCs w:val="0"/>
                <w:color w:val="auto"/>
                <w:sz w:val="24"/>
                <w:szCs w:val="24"/>
                <w:highlight w:val="none"/>
              </w:rPr>
              <w:t>。</w:t>
            </w:r>
            <w:r>
              <w:rPr>
                <w:rFonts w:hint="eastAsia" w:ascii="宋体" w:hAnsi="宋体"/>
                <w:b w:val="0"/>
                <w:bCs w:val="0"/>
                <w:color w:val="auto"/>
                <w:sz w:val="24"/>
                <w:szCs w:val="24"/>
                <w:highlight w:val="none"/>
                <w:lang w:eastAsia="zh-TW"/>
              </w:rPr>
              <w:t>有关澄清的答复均应由投标人的法定代表人或授权代表签字</w:t>
            </w:r>
            <w:r>
              <w:rPr>
                <w:rFonts w:hint="eastAsia" w:ascii="宋体" w:hAnsi="宋体"/>
                <w:b w:val="0"/>
                <w:bCs w:val="0"/>
                <w:color w:val="auto"/>
                <w:sz w:val="24"/>
                <w:szCs w:val="24"/>
                <w:highlight w:val="none"/>
              </w:rPr>
              <w:t>或盖章</w:t>
            </w:r>
            <w:r>
              <w:rPr>
                <w:rFonts w:hint="eastAsia" w:ascii="宋体" w:hAnsi="宋体"/>
                <w:b w:val="0"/>
                <w:bCs w:val="0"/>
                <w:color w:val="auto"/>
                <w:sz w:val="24"/>
                <w:szCs w:val="24"/>
                <w:highlight w:val="none"/>
                <w:lang w:eastAsia="zh-TW"/>
              </w:rPr>
              <w:t>的书面形式作出。</w:t>
            </w:r>
          </w:p>
          <w:p>
            <w:pPr>
              <w:numPr>
                <w:ilvl w:val="-1"/>
                <w:numId w:val="0"/>
              </w:numPr>
              <w:spacing w:line="360" w:lineRule="auto"/>
              <w:ind w:left="0" w:right="-70" w:firstLine="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eastAsia="zh-TW"/>
              </w:rPr>
              <w:t>投标人的澄清文件是其投标文件的组成部分。</w:t>
            </w:r>
          </w:p>
          <w:p>
            <w:pPr>
              <w:numPr>
                <w:ilvl w:val="-1"/>
                <w:numId w:val="0"/>
              </w:numPr>
              <w:spacing w:line="360" w:lineRule="auto"/>
              <w:ind w:left="0" w:right="-70" w:firstLine="0"/>
              <w:rPr>
                <w:rFonts w:hint="eastAsia" w:ascii="宋体" w:hAnsi="宋体"/>
                <w:b w:val="0"/>
                <w:bCs w:val="0"/>
                <w:color w:val="auto"/>
                <w:sz w:val="24"/>
                <w:szCs w:val="24"/>
                <w:highlight w:val="none"/>
              </w:rPr>
            </w:pPr>
            <w:r>
              <w:rPr>
                <w:rFonts w:hint="eastAsia" w:ascii="宋体" w:hAnsi="宋体"/>
                <w:b w:val="0"/>
                <w:bCs w:val="0"/>
                <w:color w:val="auto"/>
                <w:sz w:val="24"/>
                <w:szCs w:val="24"/>
                <w:highlight w:val="none"/>
                <w:lang w:val="en-US" w:eastAsia="zh-CN"/>
              </w:rPr>
              <w:t>4、</w:t>
            </w:r>
            <w:r>
              <w:rPr>
                <w:rFonts w:hint="eastAsia" w:ascii="宋体" w:hAnsi="宋体"/>
                <w:b w:val="0"/>
                <w:bCs w:val="0"/>
                <w:color w:val="auto"/>
                <w:sz w:val="24"/>
                <w:szCs w:val="24"/>
                <w:highlight w:val="none"/>
              </w:rPr>
              <w:t>若有效投标人不足三家</w:t>
            </w:r>
            <w:r>
              <w:rPr>
                <w:rFonts w:hint="eastAsia" w:ascii="宋体" w:hAnsi="宋体" w:eastAsia="宋体" w:cs="宋体"/>
                <w:color w:val="auto"/>
                <w:kern w:val="0"/>
                <w:sz w:val="24"/>
                <w:highlight w:val="none"/>
              </w:rPr>
              <w:t>时项目将不得开标、不得评标或直接废标。</w:t>
            </w:r>
          </w:p>
          <w:p>
            <w:pPr>
              <w:numPr>
                <w:ilvl w:val="-1"/>
                <w:numId w:val="0"/>
              </w:numPr>
              <w:spacing w:line="360" w:lineRule="auto"/>
              <w:ind w:left="0" w:leftChars="0" w:right="-70" w:rightChars="0" w:firstLine="0" w:firstLineChars="0"/>
              <w:rPr>
                <w:rFonts w:hint="eastAsia" w:ascii="宋体" w:hAnsi="宋体" w:cs="宋体"/>
                <w:color w:val="auto"/>
                <w:sz w:val="24"/>
                <w:szCs w:val="24"/>
                <w:highlight w:val="none"/>
                <w:lang w:eastAsia="zh-TW"/>
              </w:rPr>
            </w:pP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TW"/>
              </w:rPr>
              <w:t>评标采用综合评分法，按评审后得分由高到低顺序排列。得分相同的，按投标报价由低到高顺序排列，得分且投标报价相同的，按技术指标优劣顺序排列。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是否授权评标委员会确定</w:t>
            </w:r>
            <w:r>
              <w:rPr>
                <w:rFonts w:hint="eastAsia" w:ascii="宋体" w:hAnsi="宋体" w:eastAsia="宋体" w:cs="宋体"/>
                <w:color w:val="auto"/>
                <w:kern w:val="0"/>
                <w:sz w:val="24"/>
                <w:highlight w:val="none"/>
                <w:lang w:eastAsia="zh-CN"/>
              </w:rPr>
              <w:t>中标</w:t>
            </w:r>
            <w:r>
              <w:rPr>
                <w:rFonts w:hint="eastAsia" w:ascii="宋体" w:hAnsi="宋体" w:cs="宋体"/>
                <w:color w:val="auto"/>
                <w:kern w:val="0"/>
                <w:sz w:val="24"/>
                <w:highlight w:val="none"/>
                <w:lang w:eastAsia="zh-CN"/>
              </w:rPr>
              <w:t>人</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是，采购人授权评标委员会直接确定</w:t>
            </w:r>
            <w:r>
              <w:rPr>
                <w:rFonts w:hint="eastAsia" w:ascii="宋体" w:hAnsi="宋体" w:eastAsia="宋体" w:cs="宋体"/>
                <w:color w:val="auto"/>
                <w:kern w:val="0"/>
                <w:sz w:val="24"/>
                <w:highlight w:val="none"/>
                <w:lang w:eastAsia="zh-CN"/>
              </w:rPr>
              <w:t>中标</w:t>
            </w:r>
            <w:r>
              <w:rPr>
                <w:rFonts w:hint="eastAsia" w:ascii="宋体" w:hAnsi="宋体" w:cs="宋体"/>
                <w:color w:val="auto"/>
                <w:kern w:val="0"/>
                <w:sz w:val="24"/>
                <w:highlight w:val="none"/>
                <w:lang w:eastAsia="zh-CN"/>
              </w:rPr>
              <w:t>人</w:t>
            </w:r>
            <w:r>
              <w:rPr>
                <w:rFonts w:hint="eastAsia" w:ascii="宋体" w:hAnsi="宋体" w:eastAsia="宋体" w:cs="宋体"/>
                <w:color w:val="auto"/>
                <w:kern w:val="0"/>
                <w:sz w:val="24"/>
                <w:highlight w:val="none"/>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snapToGrid w:val="0"/>
                <w:color w:val="auto"/>
                <w:kern w:val="0"/>
                <w:sz w:val="24"/>
                <w:highlight w:val="none"/>
              </w:rPr>
              <w:fldChar w:fldCharType="begin"/>
            </w:r>
            <w:r>
              <w:rPr>
                <w:rFonts w:hint="eastAsia" w:ascii="宋体" w:hAnsi="宋体" w:eastAsia="宋体" w:cs="宋体"/>
                <w:snapToGrid w:val="0"/>
                <w:color w:val="auto"/>
                <w:kern w:val="0"/>
                <w:sz w:val="24"/>
                <w:highlight w:val="none"/>
              </w:rPr>
              <w:instrText xml:space="preserve"> eq \o\ac(□,√)</w:instrText>
            </w:r>
            <w:r>
              <w:rPr>
                <w:rFonts w:hint="eastAsia" w:ascii="宋体" w:hAnsi="宋体" w:eastAsia="宋体" w:cs="宋体"/>
                <w:snapToGrid w:val="0"/>
                <w:color w:val="auto"/>
                <w:kern w:val="0"/>
                <w:sz w:val="24"/>
                <w:highlight w:val="none"/>
              </w:rPr>
              <w:fldChar w:fldCharType="end"/>
            </w:r>
            <w:r>
              <w:rPr>
                <w:rFonts w:hint="eastAsia" w:ascii="宋体" w:hAnsi="宋体" w:eastAsia="宋体" w:cs="宋体"/>
                <w:color w:val="auto"/>
                <w:kern w:val="0"/>
                <w:sz w:val="24"/>
                <w:highlight w:val="none"/>
              </w:rPr>
              <w:t xml:space="preserve"> 否，按评标总得分从高到低的顺序排名</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推荐2名中标候选人</w:t>
            </w:r>
            <w:r>
              <w:rPr>
                <w:rFonts w:hint="eastAsia" w:ascii="宋体" w:hAnsi="宋体" w:eastAsia="宋体" w:cs="宋体"/>
                <w:color w:val="auto"/>
                <w:kern w:val="0"/>
                <w:sz w:val="24"/>
                <w:highlight w:val="none"/>
              </w:rPr>
              <w:t>。按排名顺序推荐排名第1的为第一中标候选人，排名第2的为第二中标候选人。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both"/>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eastAsia="zh-CN"/>
              </w:rPr>
              <w:t>中标候选</w:t>
            </w:r>
            <w:r>
              <w:rPr>
                <w:rFonts w:hint="eastAsia" w:ascii="宋体" w:hAnsi="宋体" w:eastAsia="宋体" w:cs="宋体"/>
                <w:color w:val="auto"/>
                <w:kern w:val="0"/>
                <w:sz w:val="24"/>
                <w:highlight w:val="none"/>
                <w:lang w:val="en-US" w:eastAsia="zh-CN"/>
              </w:rPr>
              <w:t>人</w:t>
            </w:r>
            <w:r>
              <w:rPr>
                <w:rFonts w:hint="eastAsia" w:ascii="宋体" w:hAnsi="宋体" w:eastAsia="宋体" w:cs="宋体"/>
                <w:color w:val="auto"/>
                <w:kern w:val="0"/>
                <w:sz w:val="24"/>
                <w:highlight w:val="none"/>
                <w:lang w:eastAsia="zh-CN"/>
              </w:rPr>
              <w:t>推荐家数</w:t>
            </w:r>
          </w:p>
        </w:tc>
        <w:tc>
          <w:tcPr>
            <w:tcW w:w="7082" w:type="dxa"/>
            <w:tcBorders>
              <w:tl2br w:val="nil"/>
              <w:tr2bl w:val="nil"/>
            </w:tcBorders>
            <w:noWrap w:val="0"/>
            <w:vAlign w:val="center"/>
          </w:tcPr>
          <w:p>
            <w:pPr>
              <w:shd w:val="clear" w:color="auto" w:fill="auto"/>
              <w:adjustRightInd w:val="0"/>
              <w:spacing w:line="360" w:lineRule="auto"/>
              <w:jc w:val="both"/>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采购包1：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both"/>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中标</w:t>
            </w:r>
            <w:r>
              <w:rPr>
                <w:rFonts w:hint="eastAsia" w:ascii="宋体" w:hAnsi="宋体" w:eastAsia="宋体" w:cs="宋体"/>
                <w:color w:val="auto"/>
                <w:kern w:val="0"/>
                <w:sz w:val="24"/>
                <w:highlight w:val="none"/>
                <w:lang w:eastAsia="zh-CN"/>
              </w:rPr>
              <w:t>人</w:t>
            </w:r>
            <w:r>
              <w:rPr>
                <w:rFonts w:hint="eastAsia" w:ascii="宋体" w:hAnsi="宋体" w:eastAsia="宋体" w:cs="宋体"/>
                <w:color w:val="auto"/>
                <w:kern w:val="0"/>
                <w:sz w:val="24"/>
                <w:highlight w:val="none"/>
              </w:rPr>
              <w:t>数量</w:t>
            </w:r>
          </w:p>
        </w:tc>
        <w:tc>
          <w:tcPr>
            <w:tcW w:w="7082" w:type="dxa"/>
            <w:tcBorders>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val="0"/>
              <w:spacing w:line="360" w:lineRule="auto"/>
              <w:jc w:val="both"/>
              <w:textAlignment w:val="auto"/>
              <w:rPr>
                <w:rFonts w:hint="eastAsia" w:ascii="宋体" w:hAnsi="宋体" w:eastAsia="宋体" w:cs="宋体"/>
                <w:color w:val="auto"/>
                <w:kern w:val="0"/>
                <w:sz w:val="24"/>
                <w:highlight w:val="none"/>
                <w:lang w:val="zh-CN" w:eastAsia="zh-CN"/>
              </w:rPr>
            </w:pPr>
            <w:r>
              <w:rPr>
                <w:rFonts w:hint="eastAsia" w:ascii="宋体" w:hAnsi="宋体" w:cs="宋体"/>
                <w:color w:val="auto"/>
                <w:kern w:val="0"/>
                <w:sz w:val="24"/>
                <w:highlight w:val="none"/>
              </w:rPr>
              <w:t>采购包1：1家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spacing w:line="360" w:lineRule="auto"/>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0"/>
                <w:sz w:val="24"/>
                <w:highlight w:val="none"/>
                <w:lang w:eastAsia="zh-CN"/>
              </w:rPr>
              <w:t>有效投标人家数</w:t>
            </w:r>
          </w:p>
        </w:tc>
        <w:tc>
          <w:tcPr>
            <w:tcW w:w="7082" w:type="dxa"/>
            <w:tcBorders>
              <w:tl2br w:val="nil"/>
              <w:tr2bl w:val="nil"/>
            </w:tcBorders>
            <w:noWrap w:val="0"/>
            <w:vAlign w:val="center"/>
          </w:tcPr>
          <w:p>
            <w:pPr>
              <w:shd w:val="clear" w:color="auto" w:fill="auto"/>
              <w:adjustRightInd w:val="0"/>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highlight w:val="none"/>
              </w:rPr>
              <w:t>采购包1：3家</w:t>
            </w:r>
          </w:p>
          <w:p>
            <w:pPr>
              <w:keepNext w:val="0"/>
              <w:keepLines w:val="0"/>
              <w:pageBreakBefore w:val="0"/>
              <w:widowControl w:val="0"/>
              <w:shd w:val="clear" w:color="auto" w:fill="auto"/>
              <w:kinsoku/>
              <w:wordWrap/>
              <w:overflowPunct/>
              <w:topLinePunct w:val="0"/>
              <w:autoSpaceDE/>
              <w:autoSpaceDN/>
              <w:bidi w:val="0"/>
              <w:adjustRightInd w:val="0"/>
              <w:spacing w:line="360" w:lineRule="auto"/>
              <w:jc w:val="left"/>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0"/>
                <w:sz w:val="24"/>
                <w:highlight w:val="none"/>
              </w:rPr>
              <w:t>此人数约定了开标与评标过程中的最低有效</w:t>
            </w:r>
            <w:r>
              <w:rPr>
                <w:rFonts w:hint="eastAsia" w:ascii="宋体" w:hAnsi="宋体" w:eastAsia="宋体" w:cs="宋体"/>
                <w:color w:val="auto"/>
                <w:kern w:val="0"/>
                <w:sz w:val="24"/>
                <w:highlight w:val="none"/>
                <w:lang w:eastAsia="zh-CN"/>
              </w:rPr>
              <w:t>投标人</w:t>
            </w:r>
            <w:r>
              <w:rPr>
                <w:rFonts w:hint="eastAsia" w:ascii="宋体" w:hAnsi="宋体" w:eastAsia="宋体" w:cs="宋体"/>
                <w:color w:val="auto"/>
                <w:kern w:val="0"/>
                <w:sz w:val="24"/>
                <w:highlight w:val="none"/>
              </w:rPr>
              <w:t>家数，当家数不足时项目将不得开标、不得评标或直接废标。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top"/>
          </w:tcPr>
          <w:p>
            <w:pPr>
              <w:spacing w:line="360" w:lineRule="auto"/>
              <w:jc w:val="both"/>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eastAsia="zh-CN"/>
              </w:rPr>
              <w:t>项目兼投兼中（兼投不兼中）规则</w:t>
            </w:r>
          </w:p>
        </w:tc>
        <w:tc>
          <w:tcPr>
            <w:tcW w:w="7082" w:type="dxa"/>
            <w:tcBorders>
              <w:tl2br w:val="nil"/>
              <w:tr2bl w:val="nil"/>
            </w:tcBorders>
            <w:noWrap w:val="0"/>
            <w:vAlign w:val="center"/>
          </w:tcPr>
          <w:p>
            <w:pPr>
              <w:spacing w:line="360" w:lineRule="auto"/>
              <w:jc w:val="both"/>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本项目</w:t>
            </w:r>
            <w:r>
              <w:rPr>
                <w:rFonts w:hint="eastAsia" w:ascii="宋体" w:hAnsi="宋体" w:eastAsia="宋体" w:cs="宋体"/>
                <w:color w:val="auto"/>
                <w:kern w:val="0"/>
                <w:sz w:val="24"/>
                <w:highlight w:val="none"/>
                <w:lang w:eastAsia="zh-CN"/>
              </w:rPr>
              <w:t>兼投不兼中</w:t>
            </w:r>
            <w:r>
              <w:rPr>
                <w:rFonts w:hint="eastAsia" w:ascii="宋体" w:hAnsi="宋体" w:cs="宋体"/>
                <w:color w:val="auto"/>
                <w:kern w:val="0"/>
                <w:sz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spacing w:line="360" w:lineRule="auto"/>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eastAsia="zh-CN"/>
              </w:rPr>
              <w:t>中标投标人确定方式</w:t>
            </w:r>
          </w:p>
        </w:tc>
        <w:tc>
          <w:tcPr>
            <w:tcW w:w="7082" w:type="dxa"/>
            <w:tcBorders>
              <w:tl2br w:val="nil"/>
              <w:tr2bl w:val="nil"/>
            </w:tcBorders>
            <w:noWrap w:val="0"/>
            <w:vAlign w:val="center"/>
          </w:tcPr>
          <w:p>
            <w:pPr>
              <w:spacing w:line="360" w:lineRule="auto"/>
              <w:jc w:val="both"/>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eastAsia="zh-CN"/>
              </w:rPr>
              <w:t>采购人按照评审报告中推荐的中标候选人确定中标（成交）人。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中标结果的公告媒体</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pacing w:line="360" w:lineRule="auto"/>
              <w:jc w:val="both"/>
              <w:textAlignment w:val="auto"/>
              <w:rPr>
                <w:rFonts w:hint="eastAsia" w:ascii="宋体" w:hAnsi="宋体" w:eastAsia="宋体" w:cs="宋体"/>
                <w:color w:val="auto"/>
                <w:sz w:val="24"/>
                <w:szCs w:val="32"/>
                <w:highlight w:val="none"/>
                <w:lang w:val="zh-CN" w:eastAsia="zh-CN"/>
              </w:rPr>
            </w:pPr>
            <w:r>
              <w:rPr>
                <w:rFonts w:hint="eastAsia" w:ascii="宋体" w:hAnsi="宋体" w:cs="宋体"/>
                <w:b w:val="0"/>
                <w:bCs w:val="0"/>
                <w:i w:val="0"/>
                <w:caps w:val="0"/>
                <w:color w:val="auto"/>
                <w:spacing w:val="0"/>
                <w:sz w:val="24"/>
                <w:szCs w:val="24"/>
                <w:highlight w:val="none"/>
                <w:shd w:val="clear" w:color="auto" w:fill="auto"/>
                <w:lang w:val="en-US" w:eastAsia="zh-CN"/>
              </w:rPr>
              <w:t>广东三水发展控股投资有限公司（http://www.ssfzgs.com） </w:t>
            </w:r>
          </w:p>
          <w:p>
            <w:pPr>
              <w:keepNext w:val="0"/>
              <w:keepLines w:val="0"/>
              <w:pageBreakBefore w:val="0"/>
              <w:widowControl w:val="0"/>
              <w:shd w:val="clear" w:color="auto" w:fill="auto"/>
              <w:kinsoku/>
              <w:wordWrap/>
              <w:overflowPunct/>
              <w:topLinePunct w:val="0"/>
              <w:autoSpaceDE/>
              <w:autoSpaceDN/>
              <w:bidi w:val="0"/>
              <w:adjustRightInd w:val="0"/>
              <w:spacing w:line="360" w:lineRule="auto"/>
              <w:jc w:val="both"/>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szCs w:val="32"/>
                <w:highlight w:val="none"/>
                <w:lang w:val="zh-CN" w:eastAsia="zh-CN"/>
              </w:rPr>
              <w:t>广东杰信项目管理有限公司（http://www.gdjiexin.com.cn/）</w:t>
            </w:r>
            <w:r>
              <w:rPr>
                <w:rFonts w:hint="eastAsia" w:ascii="宋体" w:hAnsi="宋体" w:eastAsia="宋体" w:cs="宋体"/>
                <w:color w:val="auto"/>
                <w:kern w:val="0"/>
                <w:sz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41" w:type="dxa"/>
            <w:tcBorders>
              <w:tl2br w:val="nil"/>
              <w:tr2bl w:val="nil"/>
            </w:tcBorders>
            <w:noWrap w:val="0"/>
            <w:vAlign w:val="center"/>
          </w:tcPr>
          <w:p>
            <w:pPr>
              <w:keepNext w:val="0"/>
              <w:keepLines w:val="0"/>
              <w:pageBreakBefore w:val="0"/>
              <w:widowControl w:val="0"/>
              <w:numPr>
                <w:ilvl w:val="0"/>
                <w:numId w:val="21"/>
              </w:numPr>
              <w:shd w:val="clear" w:color="auto" w:fill="auto"/>
              <w:kinsoku/>
              <w:wordWrap/>
              <w:overflowPunct/>
              <w:topLinePunct w:val="0"/>
              <w:autoSpaceDE/>
              <w:autoSpaceDN/>
              <w:bidi w:val="0"/>
              <w:adjustRightInd w:val="0"/>
              <w:spacing w:line="360" w:lineRule="auto"/>
              <w:ind w:left="228" w:right="-250" w:rightChars="-119" w:hanging="370"/>
              <w:jc w:val="center"/>
              <w:textAlignment w:val="auto"/>
              <w:rPr>
                <w:rFonts w:hint="eastAsia" w:ascii="宋体" w:hAnsi="宋体" w:eastAsia="宋体" w:cs="宋体"/>
                <w:color w:val="auto"/>
                <w:kern w:val="0"/>
                <w:sz w:val="24"/>
                <w:highlight w:val="none"/>
              </w:rPr>
            </w:pPr>
          </w:p>
        </w:tc>
        <w:tc>
          <w:tcPr>
            <w:tcW w:w="195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中标服务费</w:t>
            </w:r>
          </w:p>
        </w:tc>
        <w:tc>
          <w:tcPr>
            <w:tcW w:w="708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收费标准：</w:t>
            </w:r>
            <w:r>
              <w:rPr>
                <w:rFonts w:hint="eastAsia" w:ascii="宋体" w:hAnsi="宋体" w:eastAsia="宋体" w:cs="宋体"/>
                <w:color w:val="auto"/>
                <w:sz w:val="24"/>
                <w:highlight w:val="none"/>
              </w:rPr>
              <w:t>按</w:t>
            </w:r>
            <w:r>
              <w:rPr>
                <w:rFonts w:hint="eastAsia" w:ascii="宋体" w:hAnsi="宋体" w:eastAsia="宋体" w:cs="宋体"/>
                <w:color w:val="auto"/>
                <w:sz w:val="24"/>
                <w:highlight w:val="none"/>
                <w:lang w:eastAsia="zh-CN"/>
              </w:rPr>
              <w:t>国家发改委</w:t>
            </w:r>
            <w:r>
              <w:rPr>
                <w:rFonts w:hint="eastAsia" w:ascii="宋体" w:hAnsi="宋体" w:eastAsia="宋体" w:cs="宋体"/>
                <w:color w:val="auto"/>
                <w:sz w:val="24"/>
                <w:highlight w:val="none"/>
              </w:rPr>
              <w:t>颁布的《招标代理服务收费管理暂行办法》（计价格[2002]1980号）及发改价格[2011]534号文招标代理服务费收费标准</w:t>
            </w:r>
            <w:r>
              <w:rPr>
                <w:rFonts w:hint="eastAsia" w:ascii="宋体" w:hAnsi="宋体" w:cs="宋体"/>
                <w:color w:val="auto"/>
                <w:sz w:val="24"/>
                <w:highlight w:val="none"/>
                <w:lang w:eastAsia="zh-CN"/>
              </w:rPr>
              <w:t>并下浮</w:t>
            </w:r>
            <w:r>
              <w:rPr>
                <w:rFonts w:hint="eastAsia" w:ascii="宋体" w:hAnsi="宋体" w:cs="宋体"/>
                <w:color w:val="auto"/>
                <w:sz w:val="24"/>
                <w:highlight w:val="none"/>
                <w:lang w:val="en-US" w:eastAsia="zh-CN"/>
              </w:rPr>
              <w:t>20％</w:t>
            </w:r>
            <w:r>
              <w:rPr>
                <w:rFonts w:hint="eastAsia" w:ascii="宋体" w:hAnsi="宋体" w:eastAsia="宋体" w:cs="宋体"/>
                <w:color w:val="auto"/>
                <w:sz w:val="24"/>
                <w:highlight w:val="none"/>
              </w:rPr>
              <w:t>执行</w:t>
            </w:r>
            <w:r>
              <w:rPr>
                <w:rFonts w:hint="eastAsia" w:ascii="宋体" w:hAnsi="宋体" w:cs="宋体"/>
                <w:color w:val="auto"/>
                <w:sz w:val="24"/>
                <w:highlight w:val="none"/>
                <w:lang w:eastAsia="zh-CN"/>
              </w:rPr>
              <w:t>，</w:t>
            </w:r>
            <w:r>
              <w:rPr>
                <w:rFonts w:hint="eastAsia" w:ascii="宋体" w:hAnsi="宋体" w:cs="宋体"/>
                <w:color w:val="auto"/>
                <w:sz w:val="24"/>
                <w:highlight w:val="none"/>
              </w:rPr>
              <w:t>该费用</w:t>
            </w:r>
            <w:r>
              <w:rPr>
                <w:rFonts w:hint="eastAsia" w:ascii="宋体" w:hAnsi="宋体" w:cs="宋体"/>
                <w:color w:val="auto"/>
                <w:sz w:val="24"/>
                <w:highlight w:val="none"/>
                <w:lang w:eastAsia="zh-CN"/>
              </w:rPr>
              <w:t>按照</w:t>
            </w:r>
            <w:r>
              <w:rPr>
                <w:rFonts w:hint="eastAsia" w:ascii="宋体" w:hAnsi="宋体" w:cs="宋体"/>
                <w:color w:val="auto"/>
                <w:sz w:val="24"/>
                <w:highlight w:val="none"/>
              </w:rPr>
              <w:t>每个包组中标总金额</w:t>
            </w:r>
            <w:r>
              <w:rPr>
                <w:rFonts w:hint="eastAsia" w:ascii="宋体" w:hAnsi="宋体" w:eastAsia="宋体" w:cs="宋体"/>
                <w:color w:val="auto"/>
                <w:sz w:val="24"/>
                <w:highlight w:val="none"/>
                <w:lang w:eastAsia="zh-CN"/>
              </w:rPr>
              <w:t>进行</w:t>
            </w:r>
            <w:r>
              <w:rPr>
                <w:rFonts w:hint="eastAsia" w:ascii="宋体" w:hAnsi="宋体" w:cs="宋体"/>
                <w:color w:val="auto"/>
                <w:sz w:val="24"/>
                <w:highlight w:val="none"/>
              </w:rPr>
              <w:t>计算</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专家评审费以实际支付为准。</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计算基数：</w:t>
            </w:r>
            <w:r>
              <w:rPr>
                <w:rFonts w:hint="eastAsia" w:ascii="宋体" w:hAnsi="宋体" w:eastAsia="宋体" w:cs="宋体"/>
                <w:bCs/>
                <w:color w:val="auto"/>
                <w:sz w:val="24"/>
                <w:highlight w:val="none"/>
                <w:lang w:eastAsia="zh-CN"/>
              </w:rPr>
              <w:t>中标</w:t>
            </w:r>
            <w:r>
              <w:rPr>
                <w:rFonts w:hint="eastAsia" w:ascii="宋体" w:hAnsi="宋体" w:eastAsia="宋体" w:cs="宋体"/>
                <w:bCs/>
                <w:color w:val="auto"/>
                <w:sz w:val="24"/>
                <w:highlight w:val="none"/>
              </w:rPr>
              <w:t>金额</w:t>
            </w:r>
            <w:r>
              <w:rPr>
                <w:rFonts w:hint="eastAsia" w:ascii="宋体" w:hAnsi="宋体" w:eastAsia="宋体" w:cs="宋体"/>
                <w:color w:val="auto"/>
                <w:sz w:val="24"/>
                <w:highlight w:val="none"/>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color w:val="auto"/>
                <w:sz w:val="24"/>
                <w:szCs w:val="24"/>
                <w:highlight w:val="none"/>
                <w:lang w:eastAsia="zh-CN"/>
              </w:rPr>
              <w:t>服务</w:t>
            </w:r>
            <w:r>
              <w:rPr>
                <w:rFonts w:hint="eastAsia" w:ascii="宋体" w:hAnsi="宋体" w:eastAsia="宋体" w:cs="宋体"/>
                <w:b/>
                <w:color w:val="auto"/>
                <w:sz w:val="24"/>
                <w:szCs w:val="24"/>
                <w:highlight w:val="none"/>
              </w:rPr>
              <w:t>类型</w:t>
            </w:r>
            <w:r>
              <w:rPr>
                <w:rFonts w:hint="eastAsia" w:ascii="宋体" w:hAnsi="宋体" w:eastAsia="宋体" w:cs="宋体"/>
                <w:b/>
                <w:color w:val="auto"/>
                <w:sz w:val="24"/>
                <w:szCs w:val="24"/>
                <w:highlight w:val="none"/>
                <w:lang w:eastAsia="zh-CN"/>
              </w:rPr>
              <w:t>：</w:t>
            </w:r>
            <w:r>
              <w:rPr>
                <w:rFonts w:hint="eastAsia" w:ascii="宋体" w:hAnsi="宋体" w:cs="宋体"/>
                <w:b w:val="0"/>
                <w:bCs/>
                <w:color w:val="auto"/>
                <w:sz w:val="24"/>
                <w:szCs w:val="24"/>
                <w:highlight w:val="none"/>
                <w:u w:val="none"/>
                <w:lang w:val="en-US" w:eastAsia="zh-CN"/>
              </w:rPr>
              <w:t>货物</w:t>
            </w:r>
            <w:r>
              <w:rPr>
                <w:rFonts w:hint="eastAsia" w:ascii="宋体" w:hAnsi="宋体" w:eastAsia="宋体" w:cs="宋体"/>
                <w:b w:val="0"/>
                <w:bCs/>
                <w:color w:val="auto"/>
                <w:sz w:val="24"/>
                <w:szCs w:val="24"/>
                <w:highlight w:val="none"/>
                <w:u w:val="none"/>
              </w:rPr>
              <w:t>类</w:t>
            </w:r>
            <w:r>
              <w:rPr>
                <w:rFonts w:hint="eastAsia" w:ascii="宋体" w:hAnsi="宋体" w:eastAsia="宋体" w:cs="宋体"/>
                <w:b w:val="0"/>
                <w:bCs/>
                <w:color w:val="auto"/>
                <w:sz w:val="24"/>
                <w:szCs w:val="24"/>
                <w:highlight w:val="none"/>
                <w:u w:val="none"/>
                <w:lang w:eastAsia="zh-CN"/>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计算方法：</w:t>
            </w:r>
            <w:r>
              <w:rPr>
                <w:rFonts w:hint="eastAsia" w:ascii="宋体" w:hAnsi="宋体" w:eastAsia="宋体" w:cs="宋体"/>
                <w:color w:val="auto"/>
                <w:sz w:val="24"/>
                <w:highlight w:val="none"/>
              </w:rPr>
              <w:t>按差额定率累进法计算。</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支付方式：</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中标</w:t>
            </w:r>
            <w:r>
              <w:rPr>
                <w:rFonts w:hint="eastAsia" w:ascii="宋体" w:hAnsi="宋体" w:cs="宋体"/>
                <w:color w:val="auto"/>
                <w:sz w:val="24"/>
                <w:highlight w:val="none"/>
                <w:lang w:eastAsia="zh-CN"/>
              </w:rPr>
              <w:t>人</w:t>
            </w:r>
            <w:r>
              <w:rPr>
                <w:rFonts w:hint="eastAsia" w:ascii="宋体" w:hAnsi="宋体" w:eastAsia="宋体" w:cs="宋体"/>
                <w:color w:val="auto"/>
                <w:sz w:val="24"/>
                <w:highlight w:val="none"/>
              </w:rPr>
              <w:t>在领取《中标通知书》前以银行转账方式一次性支付给采购代理机构。</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 w:hanging="1"/>
              <w:textAlignment w:val="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备注说明：</w:t>
            </w:r>
            <w:r>
              <w:rPr>
                <w:rFonts w:hint="eastAsia" w:ascii="宋体" w:hAnsi="宋体" w:eastAsia="宋体" w:cs="宋体"/>
                <w:color w:val="auto"/>
                <w:sz w:val="24"/>
                <w:highlight w:val="none"/>
              </w:rPr>
              <w:t>上述费用由中标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rPr>
              <w:t>在获取中标通知书时向代理</w:t>
            </w:r>
            <w:r>
              <w:rPr>
                <w:rFonts w:hint="eastAsia" w:ascii="宋体" w:hAnsi="宋体" w:cs="宋体"/>
                <w:color w:val="auto"/>
                <w:sz w:val="24"/>
                <w:highlight w:val="none"/>
                <w:lang w:val="en-US" w:eastAsia="zh-CN"/>
              </w:rPr>
              <w:t>机构</w:t>
            </w:r>
            <w:r>
              <w:rPr>
                <w:rFonts w:hint="eastAsia" w:ascii="宋体" w:hAnsi="宋体" w:eastAsia="宋体" w:cs="宋体"/>
                <w:color w:val="auto"/>
                <w:sz w:val="24"/>
                <w:highlight w:val="none"/>
              </w:rPr>
              <w:t>支付，</w:t>
            </w:r>
            <w:r>
              <w:rPr>
                <w:rFonts w:hint="eastAsia" w:ascii="宋体" w:hAnsi="宋体" w:eastAsia="宋体" w:cs="宋体"/>
                <w:color w:val="auto"/>
                <w:sz w:val="24"/>
                <w:highlight w:val="none"/>
                <w:lang w:eastAsia="zh-CN"/>
              </w:rPr>
              <w:t>中标</w:t>
            </w:r>
            <w:r>
              <w:rPr>
                <w:rFonts w:hint="eastAsia" w:ascii="宋体" w:hAnsi="宋体" w:cs="宋体"/>
                <w:color w:val="auto"/>
                <w:sz w:val="24"/>
                <w:highlight w:val="none"/>
                <w:lang w:eastAsia="zh-CN"/>
              </w:rPr>
              <w:t>人</w:t>
            </w:r>
            <w:r>
              <w:rPr>
                <w:rFonts w:hint="eastAsia" w:ascii="宋体" w:hAnsi="宋体" w:eastAsia="宋体" w:cs="宋体"/>
                <w:color w:val="auto"/>
                <w:sz w:val="24"/>
                <w:highlight w:val="none"/>
              </w:rPr>
              <w:t>在递交投标文件时，即视为已考虑并同意交纳</w:t>
            </w:r>
            <w:r>
              <w:rPr>
                <w:rFonts w:hint="eastAsia" w:ascii="宋体" w:hAnsi="宋体" w:eastAsia="宋体" w:cs="宋体"/>
                <w:color w:val="auto"/>
                <w:sz w:val="24"/>
                <w:highlight w:val="none"/>
                <w:lang w:eastAsia="zh-CN"/>
              </w:rPr>
              <w:t>缴纳</w:t>
            </w:r>
            <w:r>
              <w:rPr>
                <w:rFonts w:hint="eastAsia" w:ascii="宋体" w:hAnsi="宋体" w:eastAsia="宋体" w:cs="宋体"/>
                <w:color w:val="auto"/>
                <w:sz w:val="24"/>
                <w:highlight w:val="none"/>
              </w:rPr>
              <w:t>费用。</w:t>
            </w:r>
          </w:p>
        </w:tc>
      </w:tr>
    </w:tbl>
    <w:p>
      <w:pPr>
        <w:shd w:val="clear" w:color="auto" w:fill="auto"/>
        <w:snapToGrid w:val="0"/>
        <w:spacing w:before="156" w:beforeLines="50" w:line="300" w:lineRule="auto"/>
        <w:ind w:left="196" w:leftChars="-136" w:hanging="482" w:hanging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注：本表内容须与</w:t>
      </w:r>
      <w:r>
        <w:rPr>
          <w:rFonts w:hint="eastAsia" w:ascii="宋体" w:hAnsi="宋体" w:eastAsia="宋体" w:cs="宋体"/>
          <w:b/>
          <w:color w:val="auto"/>
          <w:kern w:val="0"/>
          <w:sz w:val="24"/>
          <w:highlight w:val="none"/>
          <w:lang w:eastAsia="zh-CN"/>
        </w:rPr>
        <w:t>投标人须知正文</w:t>
      </w:r>
      <w:r>
        <w:rPr>
          <w:rFonts w:hint="eastAsia" w:ascii="宋体" w:hAnsi="宋体" w:eastAsia="宋体" w:cs="宋体"/>
          <w:b/>
          <w:color w:val="auto"/>
          <w:kern w:val="0"/>
          <w:sz w:val="24"/>
          <w:highlight w:val="none"/>
        </w:rPr>
        <w:t>对应的条款内容一起阅读理解，如有不一致且不能互相解释的内容时，以本表内容为准。</w:t>
      </w:r>
    </w:p>
    <w:p>
      <w:pPr>
        <w:shd w:val="clear" w:color="auto" w:fill="auto"/>
        <w:spacing w:after="93" w:afterLines="30" w:line="336" w:lineRule="auto"/>
        <w:ind w:right="-178" w:rightChars="-85"/>
        <w:jc w:val="center"/>
        <w:outlineLvl w:val="1"/>
        <w:rPr>
          <w:rFonts w:hint="eastAsia" w:ascii="宋体" w:hAnsi="宋体" w:eastAsia="宋体" w:cs="宋体"/>
          <w:b/>
          <w:bCs/>
          <w:color w:val="auto"/>
          <w:kern w:val="0"/>
          <w:sz w:val="32"/>
          <w:szCs w:val="32"/>
          <w:highlight w:val="none"/>
          <w:lang w:val="en-US" w:eastAsia="zh-CN" w:bidi="ar-SA"/>
        </w:rPr>
      </w:pPr>
      <w:r>
        <w:rPr>
          <w:rFonts w:hint="eastAsia" w:ascii="宋体" w:hAnsi="宋体" w:eastAsia="宋体" w:cs="宋体"/>
          <w:b/>
          <w:color w:val="auto"/>
          <w:kern w:val="0"/>
          <w:sz w:val="32"/>
          <w:szCs w:val="32"/>
          <w:highlight w:val="none"/>
        </w:rPr>
        <w:br w:type="page"/>
      </w:r>
      <w:bookmarkStart w:id="10" w:name="_Toc16704"/>
      <w:r>
        <w:rPr>
          <w:rFonts w:hint="eastAsia" w:ascii="宋体" w:hAnsi="宋体" w:eastAsia="宋体" w:cs="宋体"/>
          <w:b/>
          <w:bCs/>
          <w:color w:val="auto"/>
          <w:kern w:val="0"/>
          <w:sz w:val="32"/>
          <w:szCs w:val="32"/>
          <w:highlight w:val="none"/>
          <w:lang w:val="en-US" w:eastAsia="zh-CN" w:bidi="ar-SA"/>
        </w:rPr>
        <w:t>投标人须知正文</w:t>
      </w:r>
      <w:bookmarkEnd w:id="10"/>
    </w:p>
    <w:p>
      <w:pPr>
        <w:pStyle w:val="118"/>
        <w:shd w:val="clear" w:color="auto" w:fill="auto"/>
        <w:rPr>
          <w:rFonts w:hint="eastAsia" w:ascii="宋体" w:hAnsi="宋体" w:eastAsia="宋体" w:cs="宋体"/>
          <w:color w:val="auto"/>
          <w:spacing w:val="0"/>
          <w:highlight w:val="none"/>
        </w:rPr>
      </w:pPr>
    </w:p>
    <w:p>
      <w:pPr>
        <w:pStyle w:val="3"/>
        <w:shd w:val="clear" w:color="auto" w:fill="auto"/>
        <w:spacing w:before="0" w:after="0" w:line="360" w:lineRule="auto"/>
        <w:jc w:val="center"/>
        <w:rPr>
          <w:rFonts w:hint="eastAsia" w:ascii="宋体" w:hAnsi="宋体" w:eastAsia="宋体" w:cs="宋体"/>
          <w:color w:val="auto"/>
          <w:kern w:val="0"/>
          <w:highlight w:val="none"/>
        </w:rPr>
      </w:pPr>
      <w:bookmarkStart w:id="11" w:name="_Toc12888"/>
      <w:r>
        <w:rPr>
          <w:rFonts w:hint="eastAsia" w:ascii="宋体" w:hAnsi="宋体" w:eastAsia="宋体" w:cs="宋体"/>
          <w:color w:val="auto"/>
          <w:kern w:val="0"/>
          <w:highlight w:val="none"/>
        </w:rPr>
        <w:t>一、总则及概念释义</w:t>
      </w:r>
      <w:bookmarkEnd w:id="11"/>
    </w:p>
    <w:p>
      <w:pPr>
        <w:numPr>
          <w:ilvl w:val="0"/>
          <w:numId w:val="24"/>
        </w:numPr>
        <w:shd w:val="clear" w:color="auto" w:fill="auto"/>
        <w:spacing w:before="312" w:beforeLines="100" w:line="360" w:lineRule="auto"/>
        <w:rPr>
          <w:rFonts w:hint="eastAsia" w:ascii="宋体" w:hAnsi="宋体" w:eastAsia="宋体" w:cs="宋体"/>
          <w:b/>
          <w:color w:val="auto"/>
          <w:kern w:val="0"/>
          <w:sz w:val="24"/>
          <w:szCs w:val="24"/>
          <w:highlight w:val="none"/>
          <w:lang w:val="en-GB"/>
        </w:rPr>
      </w:pPr>
      <w:bookmarkStart w:id="12" w:name="_Toc136662913"/>
      <w:bookmarkStart w:id="13" w:name="_Toc332090767"/>
      <w:bookmarkStart w:id="14" w:name="_Toc136682889"/>
      <w:bookmarkStart w:id="15" w:name="_Toc275954884"/>
      <w:bookmarkStart w:id="16" w:name="_Toc119321124"/>
      <w:bookmarkStart w:id="17" w:name="_Toc528736179"/>
      <w:bookmarkStart w:id="18" w:name="_Toc276220256"/>
      <w:r>
        <w:rPr>
          <w:rFonts w:hint="eastAsia" w:ascii="宋体" w:hAnsi="宋体" w:eastAsia="宋体" w:cs="宋体"/>
          <w:b/>
          <w:color w:val="auto"/>
          <w:kern w:val="0"/>
          <w:sz w:val="24"/>
          <w:szCs w:val="24"/>
          <w:highlight w:val="none"/>
          <w:lang w:val="en-GB"/>
        </w:rPr>
        <w:t>释义</w:t>
      </w:r>
      <w:bookmarkEnd w:id="12"/>
      <w:bookmarkEnd w:id="13"/>
      <w:bookmarkEnd w:id="14"/>
      <w:bookmarkEnd w:id="15"/>
      <w:bookmarkEnd w:id="16"/>
      <w:bookmarkEnd w:id="17"/>
      <w:bookmarkEnd w:id="18"/>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采购代理机构</w:t>
      </w:r>
      <w:r>
        <w:rPr>
          <w:rFonts w:hint="eastAsia" w:ascii="宋体" w:hAnsi="宋体" w:eastAsia="宋体" w:cs="宋体"/>
          <w:color w:val="auto"/>
          <w:kern w:val="0"/>
          <w:sz w:val="24"/>
          <w:szCs w:val="24"/>
          <w:highlight w:val="none"/>
          <w:lang w:val="en-GB"/>
        </w:rPr>
        <w:t>：见《</w:t>
      </w:r>
      <w:r>
        <w:rPr>
          <w:rFonts w:hint="eastAsia" w:ascii="宋体" w:hAnsi="宋体" w:eastAsia="宋体" w:cs="宋体"/>
          <w:color w:val="auto"/>
          <w:kern w:val="0"/>
          <w:sz w:val="24"/>
          <w:szCs w:val="24"/>
          <w:highlight w:val="none"/>
          <w:lang w:val="en-GB" w:eastAsia="zh-CN"/>
        </w:rPr>
        <w:t>投标人须知前附表</w:t>
      </w:r>
      <w:r>
        <w:rPr>
          <w:rFonts w:hint="eastAsia" w:ascii="宋体" w:hAnsi="宋体" w:eastAsia="宋体" w:cs="宋体"/>
          <w:color w:val="auto"/>
          <w:kern w:val="0"/>
          <w:sz w:val="24"/>
          <w:szCs w:val="24"/>
          <w:highlight w:val="none"/>
          <w:lang w:val="en-GB"/>
        </w:rPr>
        <w:t>》。是整个招标采购活动的组织者，依法负责编制</w:t>
      </w:r>
      <w:r>
        <w:rPr>
          <w:rFonts w:hint="eastAsia" w:ascii="宋体" w:hAnsi="宋体" w:eastAsia="宋体" w:cs="宋体"/>
          <w:color w:val="auto"/>
          <w:kern w:val="0"/>
          <w:sz w:val="24"/>
          <w:szCs w:val="24"/>
          <w:highlight w:val="none"/>
          <w:lang w:val="en-GB" w:eastAsia="zh-CN"/>
        </w:rPr>
        <w:t>和发布招标文件</w:t>
      </w:r>
      <w:r>
        <w:rPr>
          <w:rFonts w:hint="eastAsia" w:ascii="宋体" w:hAnsi="宋体" w:eastAsia="宋体" w:cs="宋体"/>
          <w:color w:val="auto"/>
          <w:kern w:val="0"/>
          <w:sz w:val="24"/>
          <w:szCs w:val="24"/>
          <w:highlight w:val="none"/>
          <w:lang w:val="en-GB"/>
        </w:rPr>
        <w:t>，对</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拥有最终的解释权。采购代理机构不以任何身份出任评标委员会成员。</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采购人</w:t>
      </w:r>
      <w:r>
        <w:rPr>
          <w:rFonts w:hint="eastAsia" w:ascii="宋体" w:hAnsi="宋体" w:eastAsia="宋体" w:cs="宋体"/>
          <w:color w:val="auto"/>
          <w:kern w:val="0"/>
          <w:sz w:val="24"/>
          <w:szCs w:val="24"/>
          <w:highlight w:val="none"/>
          <w:lang w:val="en-GB"/>
        </w:rPr>
        <w:t>：</w:t>
      </w:r>
      <w:r>
        <w:rPr>
          <w:rFonts w:hint="eastAsia" w:ascii="宋体" w:hAnsi="宋体" w:eastAsia="宋体" w:cs="宋体"/>
          <w:color w:val="auto"/>
          <w:kern w:val="0"/>
          <w:sz w:val="24"/>
          <w:szCs w:val="24"/>
          <w:highlight w:val="none"/>
        </w:rPr>
        <w:t>见《</w:t>
      </w:r>
      <w:r>
        <w:rPr>
          <w:rFonts w:hint="eastAsia" w:ascii="宋体" w:hAnsi="宋体" w:eastAsia="宋体" w:cs="宋体"/>
          <w:color w:val="auto"/>
          <w:kern w:val="0"/>
          <w:sz w:val="24"/>
          <w:szCs w:val="24"/>
          <w:highlight w:val="none"/>
          <w:lang w:eastAsia="zh-CN"/>
        </w:rPr>
        <w:t>投标人须知前附表</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GB"/>
        </w:rPr>
        <w:t>。是采购活动当事人之一，在</w:t>
      </w:r>
      <w:r>
        <w:rPr>
          <w:rFonts w:hint="eastAsia" w:ascii="宋体" w:hAnsi="宋体" w:eastAsia="宋体" w:cs="宋体"/>
          <w:color w:val="auto"/>
          <w:kern w:val="0"/>
          <w:sz w:val="24"/>
          <w:szCs w:val="24"/>
          <w:highlight w:val="none"/>
          <w:lang w:val="en-GB" w:eastAsia="zh-CN"/>
        </w:rPr>
        <w:t>采购阶段</w:t>
      </w:r>
      <w:r>
        <w:rPr>
          <w:rFonts w:hint="eastAsia" w:ascii="宋体" w:hAnsi="宋体" w:eastAsia="宋体" w:cs="宋体"/>
          <w:color w:val="auto"/>
          <w:kern w:val="0"/>
          <w:sz w:val="24"/>
          <w:szCs w:val="24"/>
          <w:highlight w:val="none"/>
          <w:lang w:val="en-GB"/>
        </w:rPr>
        <w:t>称为采购人，在签订和执行合同阶段或被称为</w:t>
      </w:r>
      <w:r>
        <w:rPr>
          <w:rFonts w:hint="eastAsia" w:ascii="宋体" w:hAnsi="宋体" w:cs="宋体"/>
          <w:color w:val="auto"/>
          <w:kern w:val="0"/>
          <w:sz w:val="24"/>
          <w:szCs w:val="24"/>
          <w:highlight w:val="none"/>
          <w:lang w:val="en-GB" w:eastAsia="zh-CN"/>
        </w:rPr>
        <w:t>采购人或</w:t>
      </w:r>
      <w:r>
        <w:rPr>
          <w:rFonts w:hint="eastAsia" w:ascii="宋体" w:hAnsi="宋体" w:eastAsia="宋体" w:cs="宋体"/>
          <w:color w:val="auto"/>
          <w:kern w:val="0"/>
          <w:sz w:val="24"/>
          <w:szCs w:val="24"/>
          <w:highlight w:val="none"/>
          <w:lang w:val="en-GB"/>
        </w:rPr>
        <w:t>甲方或买方。为便于</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及附件直接转化为经济合同条款，</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中被称为</w:t>
      </w:r>
      <w:r>
        <w:rPr>
          <w:rFonts w:hint="eastAsia" w:ascii="宋体" w:hAnsi="宋体" w:cs="宋体"/>
          <w:color w:val="auto"/>
          <w:kern w:val="0"/>
          <w:sz w:val="24"/>
          <w:szCs w:val="24"/>
          <w:highlight w:val="none"/>
          <w:lang w:val="en-GB" w:eastAsia="zh-CN"/>
        </w:rPr>
        <w:t>采购人或</w:t>
      </w:r>
      <w:r>
        <w:rPr>
          <w:rFonts w:hint="eastAsia" w:ascii="宋体" w:hAnsi="宋体" w:eastAsia="宋体" w:cs="宋体"/>
          <w:color w:val="auto"/>
          <w:kern w:val="0"/>
          <w:sz w:val="24"/>
          <w:szCs w:val="24"/>
          <w:highlight w:val="none"/>
          <w:lang w:val="en-GB"/>
        </w:rPr>
        <w:t>甲方或买方的单位在招标投标阶段均指采购人。负责项目的整体规划、技术方案可行性设计论证与实施，确定采购需求，作为合同采购方(用户)的主体承担质疑回复、履行合同、验收与评价等义务。</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eastAsia="zh-CN"/>
        </w:rPr>
        <w:t>投标人</w:t>
      </w:r>
      <w:r>
        <w:rPr>
          <w:rFonts w:hint="eastAsia" w:ascii="宋体" w:hAnsi="宋体" w:eastAsia="宋体" w:cs="宋体"/>
          <w:b/>
          <w:color w:val="auto"/>
          <w:kern w:val="0"/>
          <w:sz w:val="24"/>
          <w:szCs w:val="24"/>
          <w:highlight w:val="none"/>
          <w:lang w:val="en-GB"/>
        </w:rPr>
        <w:t>：</w:t>
      </w:r>
      <w:r>
        <w:rPr>
          <w:rFonts w:hint="eastAsia" w:ascii="宋体" w:hAnsi="宋体" w:eastAsia="宋体" w:cs="宋体"/>
          <w:color w:val="auto"/>
          <w:kern w:val="0"/>
          <w:sz w:val="24"/>
          <w:szCs w:val="24"/>
          <w:highlight w:val="none"/>
          <w:lang w:val="en-GB"/>
        </w:rPr>
        <w:t>是指响应招标、参加投标竞争的法人、其他组织或者自然人。</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eastAsia="zh-CN"/>
        </w:rPr>
        <w:t>中标投标人</w:t>
      </w:r>
      <w:r>
        <w:rPr>
          <w:rFonts w:hint="eastAsia" w:ascii="宋体" w:hAnsi="宋体" w:eastAsia="宋体" w:cs="宋体"/>
          <w:b/>
          <w:color w:val="auto"/>
          <w:kern w:val="0"/>
          <w:sz w:val="24"/>
          <w:szCs w:val="24"/>
          <w:highlight w:val="none"/>
          <w:lang w:val="en-GB"/>
        </w:rPr>
        <w:t>：</w:t>
      </w:r>
      <w:r>
        <w:rPr>
          <w:rFonts w:hint="eastAsia" w:ascii="宋体" w:hAnsi="宋体" w:eastAsia="宋体" w:cs="宋体"/>
          <w:color w:val="auto"/>
          <w:kern w:val="0"/>
          <w:sz w:val="24"/>
          <w:szCs w:val="24"/>
          <w:highlight w:val="none"/>
          <w:lang w:val="en-GB"/>
        </w:rPr>
        <w:t>是指经评标委员会评审确定的对招标文件做出实质性响应，经采购人按照规定在评标委员会推荐的中标候选人中确定的或评标委员会受采购人委托直接确认的投标人。</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eastAsia="zh-CN"/>
        </w:rPr>
        <w:t>投标人</w:t>
      </w:r>
      <w:r>
        <w:rPr>
          <w:rFonts w:hint="eastAsia" w:ascii="宋体" w:hAnsi="宋体" w:eastAsia="宋体" w:cs="宋体"/>
          <w:b/>
          <w:color w:val="auto"/>
          <w:kern w:val="0"/>
          <w:sz w:val="24"/>
          <w:szCs w:val="24"/>
          <w:highlight w:val="none"/>
          <w:lang w:val="en-GB"/>
        </w:rPr>
        <w:t>全权代表：</w:t>
      </w:r>
      <w:r>
        <w:rPr>
          <w:rFonts w:hint="eastAsia" w:ascii="宋体" w:hAnsi="宋体" w:eastAsia="宋体" w:cs="宋体"/>
          <w:color w:val="auto"/>
          <w:kern w:val="0"/>
          <w:sz w:val="24"/>
          <w:szCs w:val="24"/>
          <w:highlight w:val="none"/>
          <w:lang w:val="en-GB"/>
        </w:rPr>
        <w:t>是指</w:t>
      </w:r>
      <w:r>
        <w:rPr>
          <w:rFonts w:hint="eastAsia" w:ascii="宋体" w:hAnsi="宋体" w:eastAsia="宋体" w:cs="宋体"/>
          <w:b w:val="0"/>
          <w:bCs/>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的法定代表人或者经法定代表人授权的代理人，亦称</w:t>
      </w:r>
      <w:r>
        <w:rPr>
          <w:rFonts w:hint="eastAsia" w:ascii="宋体" w:hAnsi="宋体" w:eastAsia="宋体" w:cs="宋体"/>
          <w:b w:val="0"/>
          <w:bCs/>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代表。</w:t>
      </w:r>
    </w:p>
    <w:p>
      <w:pPr>
        <w:numPr>
          <w:ilvl w:val="0"/>
          <w:numId w:val="25"/>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val="en-GB"/>
        </w:rPr>
        <w:t>法定代表人：</w:t>
      </w:r>
      <w:r>
        <w:rPr>
          <w:rFonts w:hint="eastAsia" w:ascii="宋体" w:hAnsi="宋体" w:eastAsia="宋体" w:cs="宋体"/>
          <w:bCs/>
          <w:color w:val="auto"/>
          <w:kern w:val="0"/>
          <w:sz w:val="24"/>
          <w:szCs w:val="24"/>
          <w:highlight w:val="none"/>
          <w:lang w:val="en-GB"/>
        </w:rPr>
        <w:t>是指企业事业单位、国家机关、社会团体的主要行政负责人。</w:t>
      </w:r>
    </w:p>
    <w:p>
      <w:pPr>
        <w:numPr>
          <w:ilvl w:val="0"/>
          <w:numId w:val="25"/>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val="en-GB"/>
        </w:rPr>
        <w:t>招标文件</w:t>
      </w:r>
      <w:r>
        <w:rPr>
          <w:rFonts w:hint="eastAsia" w:ascii="宋体" w:hAnsi="宋体" w:eastAsia="宋体" w:cs="宋体"/>
          <w:b/>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GB"/>
        </w:rPr>
        <w:t>是指包括</w:t>
      </w:r>
      <w:r>
        <w:rPr>
          <w:rFonts w:hint="eastAsia" w:ascii="宋体" w:hAnsi="宋体" w:cs="宋体"/>
          <w:bCs/>
          <w:color w:val="auto"/>
          <w:kern w:val="0"/>
          <w:sz w:val="24"/>
          <w:szCs w:val="24"/>
          <w:highlight w:val="none"/>
          <w:lang w:val="en-US" w:eastAsia="zh-CN"/>
        </w:rPr>
        <w:t>投标邀请书</w:t>
      </w:r>
      <w:r>
        <w:rPr>
          <w:rFonts w:hint="eastAsia" w:ascii="宋体" w:hAnsi="宋体" w:eastAsia="宋体" w:cs="宋体"/>
          <w:bCs/>
          <w:color w:val="auto"/>
          <w:kern w:val="0"/>
          <w:sz w:val="24"/>
          <w:szCs w:val="24"/>
          <w:highlight w:val="none"/>
          <w:lang w:val="en-GB"/>
        </w:rPr>
        <w:t>和招标文件及其补充、变更和澄清等一系列文件</w:t>
      </w:r>
      <w:r>
        <w:rPr>
          <w:rFonts w:hint="eastAsia" w:ascii="宋体" w:hAnsi="宋体" w:eastAsia="宋体" w:cs="宋体"/>
          <w:bCs/>
          <w:color w:val="auto"/>
          <w:kern w:val="0"/>
          <w:sz w:val="24"/>
          <w:szCs w:val="24"/>
          <w:highlight w:val="none"/>
          <w:lang w:val="en-US" w:eastAsia="zh-CN"/>
        </w:rPr>
        <w:t xml:space="preserve">。 </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日期、天数、时间</w:t>
      </w:r>
      <w:r>
        <w:rPr>
          <w:rFonts w:hint="eastAsia" w:ascii="宋体" w:hAnsi="宋体" w:eastAsia="宋体" w:cs="宋体"/>
          <w:color w:val="auto"/>
          <w:kern w:val="0"/>
          <w:sz w:val="24"/>
          <w:szCs w:val="24"/>
          <w:highlight w:val="none"/>
          <w:lang w:val="en-GB"/>
        </w:rPr>
        <w:t>：无特别说明时</w:t>
      </w:r>
      <w:r>
        <w:rPr>
          <w:rFonts w:hint="eastAsia" w:ascii="宋体" w:hAnsi="宋体" w:eastAsia="宋体" w:cs="宋体"/>
          <w:color w:val="auto"/>
          <w:kern w:val="0"/>
          <w:sz w:val="24"/>
          <w:szCs w:val="24"/>
          <w:highlight w:val="none"/>
          <w:lang w:val="en-GB" w:eastAsia="zh-CN"/>
        </w:rPr>
        <w:t>，</w:t>
      </w:r>
      <w:r>
        <w:rPr>
          <w:rFonts w:hint="eastAsia" w:ascii="宋体" w:hAnsi="宋体" w:eastAsia="宋体" w:cs="宋体"/>
          <w:color w:val="auto"/>
          <w:kern w:val="0"/>
          <w:sz w:val="24"/>
          <w:szCs w:val="24"/>
          <w:highlight w:val="none"/>
          <w:lang w:val="en-GB"/>
        </w:rPr>
        <w:t>均为公历日（亦称自然日）及北京时间。</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以上、以下</w:t>
      </w:r>
      <w:r>
        <w:rPr>
          <w:rFonts w:hint="eastAsia" w:ascii="宋体" w:hAnsi="宋体" w:eastAsia="宋体" w:cs="宋体"/>
          <w:color w:val="auto"/>
          <w:kern w:val="0"/>
          <w:sz w:val="24"/>
          <w:szCs w:val="24"/>
          <w:highlight w:val="none"/>
          <w:lang w:val="en-GB"/>
        </w:rPr>
        <w:t>：无特别说明时，本</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中提及的“以上”均包括本数，“以下”均不包括本数。</w:t>
      </w:r>
    </w:p>
    <w:p>
      <w:pPr>
        <w:numPr>
          <w:ilvl w:val="0"/>
          <w:numId w:val="25"/>
        </w:numPr>
        <w:shd w:val="clear" w:color="auto" w:fill="auto"/>
        <w:tabs>
          <w:tab w:val="left" w:pos="540"/>
        </w:tabs>
        <w:spacing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实质性响应：</w:t>
      </w:r>
      <w:r>
        <w:rPr>
          <w:rFonts w:hint="eastAsia" w:ascii="宋体" w:hAnsi="宋体" w:eastAsia="宋体" w:cs="宋体"/>
          <w:color w:val="auto"/>
          <w:kern w:val="0"/>
          <w:sz w:val="24"/>
          <w:szCs w:val="24"/>
          <w:highlight w:val="none"/>
          <w:lang w:val="en-GB"/>
        </w:rPr>
        <w:t>是指符合</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的关键要求、条款、条件和规定，且没有不利于项目实施质量效果和服务保障的重大偏离或保留。</w:t>
      </w:r>
      <w:r>
        <w:rPr>
          <w:rFonts w:hint="eastAsia" w:ascii="宋体" w:hAnsi="宋体" w:eastAsia="宋体" w:cs="宋体"/>
          <w:b/>
          <w:color w:val="auto"/>
          <w:kern w:val="0"/>
          <w:sz w:val="24"/>
          <w:szCs w:val="24"/>
          <w:highlight w:val="none"/>
          <w:lang w:val="en-GB" w:eastAsia="zh-CN"/>
        </w:rPr>
        <w:t>招标文件</w:t>
      </w:r>
      <w:r>
        <w:rPr>
          <w:rFonts w:hint="eastAsia" w:ascii="宋体" w:hAnsi="宋体" w:eastAsia="宋体" w:cs="宋体"/>
          <w:b/>
          <w:color w:val="auto"/>
          <w:kern w:val="0"/>
          <w:sz w:val="24"/>
          <w:szCs w:val="24"/>
          <w:highlight w:val="none"/>
          <w:lang w:val="en-GB"/>
        </w:rPr>
        <w:t>中标注“</w:t>
      </w:r>
      <w:r>
        <w:rPr>
          <w:rFonts w:hint="eastAsia" w:ascii="宋体" w:hAnsi="宋体" w:eastAsia="宋体" w:cs="宋体"/>
          <w:color w:val="auto"/>
          <w:kern w:val="0"/>
          <w:sz w:val="24"/>
          <w:szCs w:val="24"/>
          <w:highlight w:val="none"/>
          <w:lang w:val="en-GB"/>
        </w:rPr>
        <w:t>★</w:t>
      </w:r>
      <w:r>
        <w:rPr>
          <w:rFonts w:hint="eastAsia" w:ascii="宋体" w:hAnsi="宋体" w:eastAsia="宋体" w:cs="宋体"/>
          <w:b/>
          <w:color w:val="auto"/>
          <w:kern w:val="0"/>
          <w:sz w:val="24"/>
          <w:szCs w:val="24"/>
          <w:highlight w:val="none"/>
          <w:lang w:val="en-GB"/>
        </w:rPr>
        <w:t>”号的条款（如有）为不可负偏离（劣于）的关键要求，</w:t>
      </w:r>
      <w:r>
        <w:rPr>
          <w:rFonts w:hint="eastAsia" w:ascii="宋体" w:hAnsi="宋体" w:eastAsia="宋体" w:cs="宋体"/>
          <w:b/>
          <w:color w:val="auto"/>
          <w:kern w:val="0"/>
          <w:sz w:val="24"/>
          <w:szCs w:val="24"/>
          <w:highlight w:val="none"/>
          <w:lang w:val="en-GB" w:eastAsia="zh-CN"/>
        </w:rPr>
        <w:t>投标人</w:t>
      </w:r>
      <w:r>
        <w:rPr>
          <w:rFonts w:hint="eastAsia" w:ascii="宋体" w:hAnsi="宋体" w:eastAsia="宋体" w:cs="宋体"/>
          <w:b/>
          <w:color w:val="auto"/>
          <w:kern w:val="0"/>
          <w:sz w:val="24"/>
          <w:szCs w:val="24"/>
          <w:highlight w:val="none"/>
          <w:lang w:val="en-GB"/>
        </w:rPr>
        <w:t>在投标响应时，若其中一项出现负偏离的将作无效投标处理。</w:t>
      </w:r>
    </w:p>
    <w:p>
      <w:pPr>
        <w:numPr>
          <w:ilvl w:val="0"/>
          <w:numId w:val="25"/>
        </w:numPr>
        <w:shd w:val="clear" w:color="auto" w:fill="auto"/>
        <w:tabs>
          <w:tab w:val="left" w:pos="540"/>
        </w:tabs>
        <w:spacing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重要技术、商务要求：</w:t>
      </w:r>
      <w:r>
        <w:rPr>
          <w:rFonts w:hint="eastAsia" w:ascii="宋体" w:hAnsi="宋体" w:eastAsia="宋体" w:cs="宋体"/>
          <w:color w:val="auto"/>
          <w:kern w:val="0"/>
          <w:sz w:val="24"/>
          <w:szCs w:val="24"/>
          <w:highlight w:val="none"/>
          <w:lang w:val="en-GB"/>
        </w:rPr>
        <w:t>是指</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中带“▲”号条款，均作为重要评审指标，不作为符合性审查条款，也不属于重大偏离或保留的范畴。</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重大偏离或保留：</w:t>
      </w:r>
      <w:r>
        <w:rPr>
          <w:rFonts w:hint="eastAsia" w:ascii="宋体" w:hAnsi="宋体" w:eastAsia="宋体" w:cs="宋体"/>
          <w:color w:val="auto"/>
          <w:kern w:val="0"/>
          <w:sz w:val="24"/>
          <w:szCs w:val="24"/>
          <w:highlight w:val="none"/>
          <w:lang w:val="en-GB"/>
        </w:rPr>
        <w:t>是指影响到</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规定的范围、质量和性能或限制了采购人的</w:t>
      </w:r>
      <w:r>
        <w:rPr>
          <w:rFonts w:hint="eastAsia" w:ascii="宋体" w:hAnsi="宋体" w:eastAsia="宋体" w:cs="宋体"/>
          <w:color w:val="auto"/>
          <w:kern w:val="0"/>
          <w:sz w:val="24"/>
          <w:szCs w:val="24"/>
          <w:highlight w:val="none"/>
          <w:lang w:val="en-GB" w:eastAsia="zh-CN"/>
        </w:rPr>
        <w:t>权利</w:t>
      </w:r>
      <w:r>
        <w:rPr>
          <w:rFonts w:hint="eastAsia" w:ascii="宋体" w:hAnsi="宋体" w:eastAsia="宋体" w:cs="宋体"/>
          <w:color w:val="auto"/>
          <w:kern w:val="0"/>
          <w:sz w:val="24"/>
          <w:szCs w:val="24"/>
          <w:highlight w:val="none"/>
          <w:lang w:val="en-GB"/>
        </w:rPr>
        <w:t>和</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义务的规定，而调整纠正这些偏离将直接影响到</w:t>
      </w:r>
      <w:r>
        <w:rPr>
          <w:rFonts w:hint="eastAsia" w:ascii="宋体" w:hAnsi="宋体" w:eastAsia="宋体" w:cs="宋体"/>
          <w:color w:val="auto"/>
          <w:kern w:val="0"/>
          <w:sz w:val="24"/>
          <w:szCs w:val="24"/>
          <w:highlight w:val="none"/>
          <w:lang w:val="en-GB" w:eastAsia="zh-CN"/>
        </w:rPr>
        <w:t>其他投标人</w:t>
      </w:r>
      <w:r>
        <w:rPr>
          <w:rFonts w:hint="eastAsia" w:ascii="宋体" w:hAnsi="宋体" w:eastAsia="宋体" w:cs="宋体"/>
          <w:color w:val="auto"/>
          <w:kern w:val="0"/>
          <w:sz w:val="24"/>
          <w:szCs w:val="24"/>
          <w:highlight w:val="none"/>
          <w:lang w:val="en-GB"/>
        </w:rPr>
        <w:t>的公平竞争地位。</w:t>
      </w:r>
    </w:p>
    <w:p>
      <w:pPr>
        <w:numPr>
          <w:ilvl w:val="0"/>
          <w:numId w:val="25"/>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val="en-GB"/>
        </w:rPr>
        <w:t>轻微偏离：</w:t>
      </w:r>
      <w:r>
        <w:rPr>
          <w:rFonts w:hint="eastAsia" w:ascii="宋体" w:hAnsi="宋体" w:eastAsia="宋体" w:cs="宋体"/>
          <w:color w:val="auto"/>
          <w:kern w:val="0"/>
          <w:sz w:val="24"/>
          <w:szCs w:val="24"/>
          <w:highlight w:val="none"/>
          <w:lang w:val="en-GB"/>
        </w:rPr>
        <w:t>是指投标文件在实质上响应</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要求，但在个别地方存在漏项或者提供了不完整的技术信息和数据等情况，并且补正这些遗漏或者不完整不会对其他</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造成不公平的结果。它包括负偏离（劣于）和正偏离（优于）。</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进口产品：</w:t>
      </w:r>
      <w:r>
        <w:rPr>
          <w:rFonts w:hint="eastAsia" w:ascii="宋体" w:hAnsi="宋体" w:eastAsia="宋体" w:cs="宋体"/>
          <w:color w:val="auto"/>
          <w:kern w:val="0"/>
          <w:sz w:val="24"/>
          <w:szCs w:val="24"/>
          <w:highlight w:val="none"/>
          <w:lang w:val="en-GB"/>
        </w:rPr>
        <w:t>是指通过中国海关报关验放进入中国境内且产自关境外的产品。</w:t>
      </w:r>
    </w:p>
    <w:p>
      <w:pPr>
        <w:numPr>
          <w:ilvl w:val="0"/>
          <w:numId w:val="2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进口产品采购原则：</w:t>
      </w:r>
      <w:r>
        <w:rPr>
          <w:rFonts w:hint="eastAsia" w:ascii="宋体" w:hAnsi="宋体" w:eastAsia="宋体" w:cs="宋体"/>
          <w:color w:val="auto"/>
          <w:kern w:val="0"/>
          <w:sz w:val="24"/>
          <w:szCs w:val="24"/>
          <w:highlight w:val="none"/>
          <w:lang w:val="en-GB"/>
        </w:rPr>
        <w:t>如允许进口产品参与投标，将优先采购向我国企业转让技术、与我国企业签订消化吸收再创新方案的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的进口产品。</w:t>
      </w:r>
    </w:p>
    <w:p>
      <w:pPr>
        <w:numPr>
          <w:ilvl w:val="0"/>
          <w:numId w:val="24"/>
        </w:numPr>
        <w:shd w:val="clear" w:color="auto" w:fill="auto"/>
        <w:spacing w:before="312" w:beforeLines="100" w:line="360" w:lineRule="auto"/>
        <w:rPr>
          <w:rFonts w:hint="eastAsia" w:ascii="宋体" w:hAnsi="宋体" w:eastAsia="宋体" w:cs="宋体"/>
          <w:b/>
          <w:color w:val="auto"/>
          <w:kern w:val="0"/>
          <w:sz w:val="24"/>
          <w:szCs w:val="24"/>
          <w:highlight w:val="none"/>
          <w:lang w:val="en-GB"/>
        </w:rPr>
      </w:pPr>
      <w:bookmarkStart w:id="19" w:name="_Toc528736180"/>
      <w:bookmarkStart w:id="20" w:name="_Toc136682890"/>
      <w:bookmarkStart w:id="21" w:name="_Toc119321125"/>
      <w:bookmarkStart w:id="22" w:name="_Toc275954885"/>
      <w:bookmarkStart w:id="23" w:name="_Toc276220257"/>
      <w:bookmarkStart w:id="24" w:name="_Toc332090768"/>
      <w:bookmarkStart w:id="25" w:name="_Toc136662914"/>
      <w:r>
        <w:rPr>
          <w:rFonts w:hint="eastAsia" w:ascii="宋体" w:hAnsi="宋体" w:eastAsia="宋体" w:cs="宋体"/>
          <w:b/>
          <w:color w:val="auto"/>
          <w:kern w:val="0"/>
          <w:sz w:val="24"/>
          <w:szCs w:val="24"/>
          <w:highlight w:val="none"/>
          <w:lang w:val="en-GB"/>
        </w:rPr>
        <w:t>合格的</w:t>
      </w:r>
      <w:r>
        <w:rPr>
          <w:rFonts w:hint="eastAsia" w:ascii="宋体" w:hAnsi="宋体" w:eastAsia="宋体" w:cs="宋体"/>
          <w:b/>
          <w:color w:val="auto"/>
          <w:kern w:val="0"/>
          <w:sz w:val="24"/>
          <w:szCs w:val="24"/>
          <w:highlight w:val="none"/>
          <w:lang w:val="en-GB" w:eastAsia="zh-CN"/>
        </w:rPr>
        <w:t>投标人</w:t>
      </w:r>
      <w:r>
        <w:rPr>
          <w:rFonts w:hint="eastAsia" w:ascii="宋体" w:hAnsi="宋体" w:eastAsia="宋体" w:cs="宋体"/>
          <w:b/>
          <w:color w:val="auto"/>
          <w:kern w:val="0"/>
          <w:sz w:val="24"/>
          <w:szCs w:val="24"/>
          <w:highlight w:val="none"/>
          <w:lang w:val="en-GB"/>
        </w:rPr>
        <w:t>、货物、服务</w:t>
      </w:r>
      <w:bookmarkEnd w:id="19"/>
      <w:bookmarkEnd w:id="20"/>
      <w:bookmarkEnd w:id="21"/>
      <w:bookmarkEnd w:id="22"/>
      <w:bookmarkEnd w:id="23"/>
      <w:bookmarkEnd w:id="24"/>
      <w:bookmarkEnd w:id="25"/>
      <w:r>
        <w:rPr>
          <w:rFonts w:hint="eastAsia" w:ascii="宋体" w:hAnsi="宋体" w:eastAsia="宋体" w:cs="宋体"/>
          <w:b/>
          <w:color w:val="auto"/>
          <w:kern w:val="0"/>
          <w:sz w:val="24"/>
          <w:szCs w:val="24"/>
          <w:highlight w:val="none"/>
          <w:lang w:val="en-GB"/>
        </w:rPr>
        <w:t>和工程</w:t>
      </w:r>
    </w:p>
    <w:p>
      <w:pPr>
        <w:numPr>
          <w:ilvl w:val="0"/>
          <w:numId w:val="26"/>
        </w:numPr>
        <w:shd w:val="clear" w:color="auto" w:fill="auto"/>
        <w:tabs>
          <w:tab w:val="left" w:pos="540"/>
        </w:tabs>
        <w:spacing w:line="360" w:lineRule="auto"/>
        <w:rPr>
          <w:rFonts w:hint="eastAsia" w:ascii="宋体" w:hAnsi="宋体" w:eastAsia="宋体" w:cs="宋体"/>
          <w:color w:val="auto"/>
          <w:kern w:val="0"/>
          <w:sz w:val="24"/>
          <w:szCs w:val="24"/>
          <w:highlight w:val="none"/>
          <w:lang w:val="en-GB" w:eastAsia="zh-CN"/>
        </w:rPr>
      </w:pPr>
      <w:r>
        <w:rPr>
          <w:rFonts w:hint="eastAsia" w:ascii="宋体" w:hAnsi="宋体" w:eastAsia="宋体" w:cs="宋体"/>
          <w:i w:val="0"/>
          <w:iCs w:val="0"/>
          <w:caps w:val="0"/>
          <w:color w:val="auto"/>
          <w:spacing w:val="0"/>
          <w:sz w:val="24"/>
          <w:szCs w:val="24"/>
          <w:highlight w:val="none"/>
          <w:shd w:val="clear" w:color="auto" w:fill="FFFFFF"/>
        </w:rPr>
        <w:t>重大违法记录，是指</w:t>
      </w:r>
      <w:r>
        <w:rPr>
          <w:rFonts w:hint="eastAsia" w:ascii="宋体" w:hAnsi="宋体" w:cs="宋体"/>
          <w:i w:val="0"/>
          <w:iCs w:val="0"/>
          <w:caps w:val="0"/>
          <w:color w:val="auto"/>
          <w:spacing w:val="0"/>
          <w:sz w:val="24"/>
          <w:szCs w:val="24"/>
          <w:highlight w:val="none"/>
          <w:shd w:val="clear" w:color="auto" w:fill="FFFFFF"/>
          <w:lang w:eastAsia="zh-CN"/>
        </w:rPr>
        <w:t>投标人</w:t>
      </w:r>
      <w:r>
        <w:rPr>
          <w:rFonts w:hint="eastAsia" w:ascii="宋体" w:hAnsi="宋体" w:eastAsia="宋体" w:cs="宋体"/>
          <w:i w:val="0"/>
          <w:iCs w:val="0"/>
          <w:caps w:val="0"/>
          <w:color w:val="auto"/>
          <w:spacing w:val="0"/>
          <w:sz w:val="24"/>
          <w:szCs w:val="24"/>
          <w:highlight w:val="none"/>
          <w:shd w:val="clear" w:color="auto" w:fill="FFFFFF"/>
        </w:rPr>
        <w:t>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eastAsia="宋体" w:cs="宋体"/>
          <w:color w:val="auto"/>
          <w:kern w:val="0"/>
          <w:sz w:val="24"/>
          <w:szCs w:val="24"/>
          <w:highlight w:val="none"/>
          <w:lang w:val="en-US" w:eastAsia="zh-CN"/>
        </w:rPr>
        <w:t xml:space="preserve"> </w:t>
      </w:r>
    </w:p>
    <w:p>
      <w:pPr>
        <w:numPr>
          <w:ilvl w:val="0"/>
          <w:numId w:val="2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在参加</w:t>
      </w:r>
      <w:r>
        <w:rPr>
          <w:rFonts w:hint="eastAsia" w:ascii="宋体" w:hAnsi="宋体" w:eastAsia="宋体" w:cs="宋体"/>
          <w:color w:val="auto"/>
          <w:kern w:val="0"/>
          <w:sz w:val="24"/>
          <w:szCs w:val="24"/>
          <w:highlight w:val="none"/>
          <w:lang w:val="en-GB" w:eastAsia="zh-CN"/>
        </w:rPr>
        <w:t>采购活动</w:t>
      </w:r>
      <w:r>
        <w:rPr>
          <w:rFonts w:hint="eastAsia" w:ascii="宋体" w:hAnsi="宋体" w:eastAsia="宋体" w:cs="宋体"/>
          <w:color w:val="auto"/>
          <w:kern w:val="0"/>
          <w:sz w:val="24"/>
          <w:szCs w:val="24"/>
          <w:highlight w:val="none"/>
          <w:lang w:val="en-GB"/>
        </w:rPr>
        <w:t>前3年内因违法经营被禁止在一定期限内参加</w:t>
      </w:r>
      <w:r>
        <w:rPr>
          <w:rFonts w:hint="eastAsia" w:ascii="宋体" w:hAnsi="宋体" w:eastAsia="宋体" w:cs="宋体"/>
          <w:color w:val="auto"/>
          <w:kern w:val="0"/>
          <w:sz w:val="24"/>
          <w:szCs w:val="24"/>
          <w:highlight w:val="none"/>
          <w:lang w:val="en-GB" w:eastAsia="zh-CN"/>
        </w:rPr>
        <w:t>采购活动</w:t>
      </w:r>
      <w:r>
        <w:rPr>
          <w:rFonts w:hint="eastAsia" w:ascii="宋体" w:hAnsi="宋体" w:eastAsia="宋体" w:cs="宋体"/>
          <w:color w:val="auto"/>
          <w:kern w:val="0"/>
          <w:sz w:val="24"/>
          <w:szCs w:val="24"/>
          <w:highlight w:val="none"/>
          <w:lang w:val="en-GB"/>
        </w:rPr>
        <w:t>，期限届满的，可以参加本次</w:t>
      </w:r>
      <w:r>
        <w:rPr>
          <w:rFonts w:hint="eastAsia" w:ascii="宋体" w:hAnsi="宋体" w:eastAsia="宋体" w:cs="宋体"/>
          <w:color w:val="auto"/>
          <w:kern w:val="0"/>
          <w:sz w:val="24"/>
          <w:szCs w:val="24"/>
          <w:highlight w:val="none"/>
          <w:lang w:val="en-GB" w:eastAsia="zh-CN"/>
        </w:rPr>
        <w:t>采购活动</w:t>
      </w:r>
      <w:r>
        <w:rPr>
          <w:rFonts w:hint="eastAsia" w:ascii="宋体" w:hAnsi="宋体" w:eastAsia="宋体" w:cs="宋体"/>
          <w:color w:val="auto"/>
          <w:kern w:val="0"/>
          <w:sz w:val="24"/>
          <w:szCs w:val="24"/>
          <w:highlight w:val="none"/>
          <w:lang w:val="en-GB"/>
        </w:rPr>
        <w:t>。</w:t>
      </w:r>
    </w:p>
    <w:p>
      <w:pPr>
        <w:numPr>
          <w:ilvl w:val="0"/>
          <w:numId w:val="26"/>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highlight w:val="none"/>
          <w:lang w:val="en-GB"/>
        </w:rPr>
        <w:t>投标人须符合本项目的投标人资格要求，依循正当途径参与项目报名及获取本</w:t>
      </w:r>
      <w:r>
        <w:rPr>
          <w:rFonts w:hint="eastAsia" w:ascii="宋体" w:hAnsi="宋体" w:eastAsia="宋体" w:cs="宋体"/>
          <w:color w:val="auto"/>
          <w:kern w:val="0"/>
          <w:sz w:val="24"/>
          <w:highlight w:val="none"/>
          <w:lang w:val="en-GB" w:eastAsia="zh-CN"/>
        </w:rPr>
        <w:t>招标文件</w:t>
      </w:r>
      <w:r>
        <w:rPr>
          <w:rFonts w:hint="eastAsia" w:ascii="宋体" w:hAnsi="宋体" w:eastAsia="宋体" w:cs="宋体"/>
          <w:color w:val="auto"/>
          <w:kern w:val="0"/>
          <w:sz w:val="24"/>
          <w:highlight w:val="none"/>
          <w:lang w:val="en-GB"/>
        </w:rPr>
        <w:t>，于提交投标文件截止日时能满足本项目的投标资格及相关重要要求</w:t>
      </w:r>
      <w:r>
        <w:rPr>
          <w:rFonts w:hint="eastAsia" w:ascii="宋体" w:hAnsi="宋体" w:eastAsia="宋体" w:cs="宋体"/>
          <w:color w:val="auto"/>
          <w:kern w:val="0"/>
          <w:sz w:val="24"/>
          <w:szCs w:val="24"/>
          <w:highlight w:val="none"/>
          <w:lang w:val="en-GB"/>
        </w:rPr>
        <w:t>。</w:t>
      </w:r>
    </w:p>
    <w:p>
      <w:pPr>
        <w:numPr>
          <w:ilvl w:val="0"/>
          <w:numId w:val="26"/>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须符合本项目的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资格要求，依循正当途径参与项目报名及获取本</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，符合</w:t>
      </w:r>
      <w:r>
        <w:rPr>
          <w:rFonts w:hint="eastAsia" w:ascii="宋体" w:hAnsi="宋体" w:cs="宋体"/>
          <w:color w:val="auto"/>
          <w:kern w:val="0"/>
          <w:sz w:val="24"/>
          <w:szCs w:val="24"/>
          <w:highlight w:val="none"/>
          <w:lang w:val="en-GB" w:eastAsia="zh-CN"/>
        </w:rPr>
        <w:t>招标文件规定</w:t>
      </w:r>
      <w:r>
        <w:rPr>
          <w:rFonts w:hint="eastAsia" w:ascii="宋体" w:hAnsi="宋体" w:eastAsia="宋体" w:cs="宋体"/>
          <w:color w:val="auto"/>
          <w:kern w:val="0"/>
          <w:sz w:val="24"/>
          <w:szCs w:val="24"/>
          <w:highlight w:val="none"/>
          <w:lang w:val="en-GB"/>
        </w:rPr>
        <w:t>的必备条件，于提交投标文件截止日时能满足本项目的投标资格及相关重要要求。</w:t>
      </w:r>
    </w:p>
    <w:p>
      <w:pPr>
        <w:numPr>
          <w:ilvl w:val="0"/>
          <w:numId w:val="26"/>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投标人须按</w:t>
      </w:r>
      <w:r>
        <w:rPr>
          <w:rFonts w:hint="eastAsia" w:ascii="宋体" w:hAnsi="宋体" w:cs="宋体"/>
          <w:color w:val="auto"/>
          <w:kern w:val="0"/>
          <w:sz w:val="24"/>
          <w:szCs w:val="24"/>
          <w:highlight w:val="none"/>
          <w:lang w:val="en-US" w:eastAsia="zh-CN" w:bidi="ar"/>
        </w:rPr>
        <w:t>投标邀请书</w:t>
      </w:r>
      <w:r>
        <w:rPr>
          <w:rFonts w:hint="eastAsia" w:ascii="宋体" w:hAnsi="宋体" w:eastAsia="宋体" w:cs="宋体"/>
          <w:color w:val="auto"/>
          <w:kern w:val="0"/>
          <w:sz w:val="24"/>
          <w:szCs w:val="24"/>
          <w:highlight w:val="none"/>
          <w:lang w:val="en-US" w:eastAsia="zh-CN" w:bidi="ar"/>
        </w:rPr>
        <w:t xml:space="preserve">确定的方式和时间参与项目登记及获取招标文件，否则拒绝其投标。 </w:t>
      </w:r>
    </w:p>
    <w:p>
      <w:pPr>
        <w:numPr>
          <w:ilvl w:val="0"/>
          <w:numId w:val="26"/>
        </w:numPr>
        <w:shd w:val="clear" w:color="auto" w:fill="auto"/>
        <w:tabs>
          <w:tab w:val="left" w:pos="518"/>
          <w:tab w:val="clear" w:pos="510"/>
        </w:tabs>
        <w:spacing w:line="360" w:lineRule="auto"/>
        <w:ind w:left="590" w:leftChars="-1" w:hanging="592" w:hangingChars="24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为采购项目提供整体设计、规范编制或者项目管理、监理、检测等服务的投标人，不得再参加该采购项目同一合同项下的其他采购活动。</w:t>
      </w:r>
    </w:p>
    <w:p>
      <w:pPr>
        <w:numPr>
          <w:ilvl w:val="0"/>
          <w:numId w:val="26"/>
        </w:numPr>
        <w:shd w:val="clear" w:color="auto" w:fill="auto"/>
        <w:tabs>
          <w:tab w:val="left" w:pos="518"/>
          <w:tab w:val="clear" w:pos="510"/>
        </w:tabs>
        <w:spacing w:line="360" w:lineRule="auto"/>
        <w:ind w:left="590" w:leftChars="-1" w:hanging="592" w:hangingChars="24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获取了本</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并非意味着满足了合格、有效</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的基本条件，一切均以评标委员会评定确认的结果为准。</w:t>
      </w:r>
    </w:p>
    <w:p>
      <w:pPr>
        <w:numPr>
          <w:ilvl w:val="0"/>
          <w:numId w:val="2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货物：</w:t>
      </w:r>
      <w:r>
        <w:rPr>
          <w:rFonts w:hint="eastAsia" w:ascii="宋体" w:hAnsi="宋体" w:eastAsia="宋体" w:cs="宋体"/>
          <w:color w:val="auto"/>
          <w:kern w:val="0"/>
          <w:sz w:val="24"/>
          <w:szCs w:val="24"/>
          <w:highlight w:val="none"/>
          <w:lang w:val="en-GB"/>
        </w:rPr>
        <w:t>是指各种形态和种类的物品，包括原材料、燃料、设备、产品等。“合格的货物”是指</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制造或组织符合</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要求的全新的货物等。</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没有提及招标货物来源地的，根据《中华人民共和国政府采购法》的相关规定均应是本国货物，如本次</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已说明允许部分或全部产品采购进口产品，</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既可提供本国产品，也可以提供进口产品。招标优先采购节能、环保产品。投标产品的设计、制造、包装和运输必须符合中华人民共和国的相关国家标准、行业标准或企业标准（如有）的强制性规定，并满足</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规定的规格、参数、质量、价格、有效期、售后服务等要求。</w:t>
      </w:r>
    </w:p>
    <w:p>
      <w:pPr>
        <w:numPr>
          <w:ilvl w:val="0"/>
          <w:numId w:val="2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服务：</w:t>
      </w:r>
      <w:r>
        <w:rPr>
          <w:rFonts w:hint="eastAsia" w:ascii="宋体" w:hAnsi="宋体" w:eastAsia="宋体" w:cs="宋体"/>
          <w:color w:val="auto"/>
          <w:kern w:val="0"/>
          <w:sz w:val="24"/>
          <w:szCs w:val="24"/>
          <w:highlight w:val="none"/>
          <w:lang w:val="en-GB"/>
        </w:rPr>
        <w:t>是指除货物和工程以外的其他采购对象，其中包括：</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须承担的运输、安装、技术支持、培训以及</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规定的其它服务。“合格的服务”是指</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按</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的规定，依据中华人民共和国的相关法律、法规、规章以及相关国家标准、行业标准或地方（或企业）标准（如有）的规定或规范要求，向采购人提供的满足</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规定的需求或特定目标的服务。</w:t>
      </w:r>
    </w:p>
    <w:p>
      <w:pPr>
        <w:numPr>
          <w:ilvl w:val="0"/>
          <w:numId w:val="2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工程</w:t>
      </w:r>
      <w:r>
        <w:rPr>
          <w:rFonts w:hint="eastAsia" w:ascii="宋体" w:hAnsi="宋体" w:eastAsia="宋体" w:cs="宋体"/>
          <w:color w:val="auto"/>
          <w:kern w:val="0"/>
          <w:sz w:val="24"/>
          <w:szCs w:val="24"/>
          <w:highlight w:val="none"/>
          <w:lang w:val="en-GB"/>
        </w:rPr>
        <w:t>：是指建设工程，包括建筑物和构筑物的新建、改建、扩建及其相关的装修、拆除、修缮等。“合格的工程”是指满足中华人民共和国的相关法律、法规、规章的规定（包括规划、设计、质量以及安全文明施工等规定和要求）并符合相关国家标准、行业标准或地方（或企业）标准（如有）的规定或规范要求，经竣工验收达到</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规定的质量验收等级标准的建设工程。</w:t>
      </w:r>
    </w:p>
    <w:p>
      <w:pPr>
        <w:numPr>
          <w:ilvl w:val="0"/>
          <w:numId w:val="2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所有涉及知识产权的内容，</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必须确保采购人拥有其合法的、不受</w:t>
      </w:r>
      <w:r>
        <w:rPr>
          <w:rFonts w:hint="eastAsia" w:ascii="宋体" w:hAnsi="宋体" w:eastAsia="宋体" w:cs="宋体"/>
          <w:color w:val="auto"/>
          <w:kern w:val="0"/>
          <w:sz w:val="24"/>
          <w:szCs w:val="24"/>
          <w:highlight w:val="none"/>
          <w:lang w:val="en-GB" w:eastAsia="zh-CN"/>
        </w:rPr>
        <w:t>限制地无偿</w:t>
      </w:r>
      <w:r>
        <w:rPr>
          <w:rFonts w:hint="eastAsia" w:ascii="宋体" w:hAnsi="宋体" w:eastAsia="宋体" w:cs="宋体"/>
          <w:color w:val="auto"/>
          <w:kern w:val="0"/>
          <w:sz w:val="24"/>
          <w:szCs w:val="24"/>
          <w:highlight w:val="none"/>
          <w:lang w:val="en-GB"/>
        </w:rPr>
        <w:t>使用权，并免受任何侵权索偿或诉讼，否则，采购人因误侵权导致的损失和法律责任由</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承担（包括且不限于：诉讼费、律师费、经裁定由采购人承担的任何费用、导致采购人需重新采购所产生的一切费用及时间费用损失等等）。</w:t>
      </w:r>
    </w:p>
    <w:p>
      <w:pPr>
        <w:numPr>
          <w:ilvl w:val="0"/>
          <w:numId w:val="2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Cs/>
          <w:snapToGrid w:val="0"/>
          <w:color w:val="auto"/>
          <w:kern w:val="0"/>
          <w:sz w:val="24"/>
          <w:szCs w:val="24"/>
          <w:highlight w:val="none"/>
          <w:lang w:val="en-GB"/>
        </w:rPr>
        <w:t>由采购人或采购代理机构向</w:t>
      </w:r>
      <w:r>
        <w:rPr>
          <w:rFonts w:hint="eastAsia" w:ascii="宋体" w:hAnsi="宋体" w:eastAsia="宋体" w:cs="宋体"/>
          <w:bCs/>
          <w:snapToGrid w:val="0"/>
          <w:color w:val="auto"/>
          <w:kern w:val="0"/>
          <w:sz w:val="24"/>
          <w:szCs w:val="24"/>
          <w:highlight w:val="none"/>
          <w:lang w:val="en-GB" w:eastAsia="zh-CN"/>
        </w:rPr>
        <w:t>投标人</w:t>
      </w:r>
      <w:r>
        <w:rPr>
          <w:rFonts w:hint="eastAsia" w:ascii="宋体" w:hAnsi="宋体" w:eastAsia="宋体" w:cs="宋体"/>
          <w:bCs/>
          <w:snapToGrid w:val="0"/>
          <w:color w:val="auto"/>
          <w:kern w:val="0"/>
          <w:sz w:val="24"/>
          <w:szCs w:val="24"/>
          <w:highlight w:val="none"/>
          <w:lang w:val="en-GB"/>
        </w:rPr>
        <w:t>提供的</w:t>
      </w:r>
      <w:r>
        <w:rPr>
          <w:rFonts w:hint="eastAsia" w:ascii="宋体" w:hAnsi="宋体" w:eastAsia="宋体" w:cs="宋体"/>
          <w:bCs/>
          <w:snapToGrid w:val="0"/>
          <w:color w:val="auto"/>
          <w:kern w:val="0"/>
          <w:sz w:val="24"/>
          <w:szCs w:val="24"/>
          <w:highlight w:val="none"/>
          <w:lang w:val="en-GB" w:eastAsia="zh-CN"/>
        </w:rPr>
        <w:t>采购需求</w:t>
      </w:r>
      <w:r>
        <w:rPr>
          <w:rFonts w:hint="eastAsia" w:ascii="宋体" w:hAnsi="宋体" w:eastAsia="宋体" w:cs="宋体"/>
          <w:bCs/>
          <w:snapToGrid w:val="0"/>
          <w:color w:val="auto"/>
          <w:kern w:val="0"/>
          <w:sz w:val="24"/>
          <w:szCs w:val="24"/>
          <w:highlight w:val="none"/>
          <w:lang w:val="en-GB"/>
        </w:rPr>
        <w:t>、图纸、样品、模型、模件和所有资料，</w:t>
      </w:r>
      <w:r>
        <w:rPr>
          <w:rFonts w:hint="eastAsia" w:ascii="宋体" w:hAnsi="宋体" w:eastAsia="宋体" w:cs="宋体"/>
          <w:bCs/>
          <w:snapToGrid w:val="0"/>
          <w:color w:val="auto"/>
          <w:kern w:val="0"/>
          <w:sz w:val="24"/>
          <w:szCs w:val="24"/>
          <w:highlight w:val="none"/>
          <w:lang w:val="en-GB" w:eastAsia="zh-CN"/>
        </w:rPr>
        <w:t>投标人</w:t>
      </w:r>
      <w:r>
        <w:rPr>
          <w:rFonts w:hint="eastAsia" w:ascii="宋体" w:hAnsi="宋体" w:eastAsia="宋体" w:cs="宋体"/>
          <w:bCs/>
          <w:snapToGrid w:val="0"/>
          <w:color w:val="auto"/>
          <w:kern w:val="0"/>
          <w:sz w:val="24"/>
          <w:szCs w:val="24"/>
          <w:highlight w:val="none"/>
          <w:lang w:val="en-GB"/>
        </w:rPr>
        <w:t>获得后，应对其保密。除非采购人同意，</w:t>
      </w:r>
      <w:r>
        <w:rPr>
          <w:rFonts w:hint="eastAsia" w:ascii="宋体" w:hAnsi="宋体" w:eastAsia="宋体" w:cs="宋体"/>
          <w:bCs/>
          <w:snapToGrid w:val="0"/>
          <w:color w:val="auto"/>
          <w:kern w:val="0"/>
          <w:sz w:val="24"/>
          <w:szCs w:val="24"/>
          <w:highlight w:val="none"/>
          <w:lang w:val="en-GB" w:eastAsia="zh-CN"/>
        </w:rPr>
        <w:t>投标人</w:t>
      </w:r>
      <w:r>
        <w:rPr>
          <w:rFonts w:hint="eastAsia" w:ascii="宋体" w:hAnsi="宋体" w:eastAsia="宋体" w:cs="宋体"/>
          <w:bCs/>
          <w:snapToGrid w:val="0"/>
          <w:color w:val="auto"/>
          <w:kern w:val="0"/>
          <w:sz w:val="24"/>
          <w:szCs w:val="24"/>
          <w:highlight w:val="none"/>
          <w:lang w:val="en-GB"/>
        </w:rPr>
        <w:t>不得向第三方透露或将其用于本次投标以外的任何用途。开标后，若采购人有要求，</w:t>
      </w:r>
      <w:r>
        <w:rPr>
          <w:rFonts w:hint="eastAsia" w:ascii="宋体" w:hAnsi="宋体" w:eastAsia="宋体" w:cs="宋体"/>
          <w:bCs/>
          <w:snapToGrid w:val="0"/>
          <w:color w:val="auto"/>
          <w:kern w:val="0"/>
          <w:sz w:val="24"/>
          <w:szCs w:val="24"/>
          <w:highlight w:val="none"/>
          <w:lang w:val="en-GB" w:eastAsia="zh-CN"/>
        </w:rPr>
        <w:t>投标人</w:t>
      </w:r>
      <w:r>
        <w:rPr>
          <w:rFonts w:hint="eastAsia" w:ascii="宋体" w:hAnsi="宋体" w:eastAsia="宋体" w:cs="宋体"/>
          <w:bCs/>
          <w:snapToGrid w:val="0"/>
          <w:color w:val="auto"/>
          <w:kern w:val="0"/>
          <w:sz w:val="24"/>
          <w:szCs w:val="24"/>
          <w:highlight w:val="none"/>
          <w:lang w:val="en-GB"/>
        </w:rPr>
        <w:t>须归还采购人认为需保密的文件和资料，并销毁所有相应的备份文件及资料。</w:t>
      </w:r>
    </w:p>
    <w:p>
      <w:pPr>
        <w:numPr>
          <w:ilvl w:val="0"/>
          <w:numId w:val="26"/>
        </w:numPr>
        <w:shd w:val="clear" w:color="auto" w:fill="auto"/>
        <w:tabs>
          <w:tab w:val="left" w:pos="540"/>
        </w:tabs>
        <w:spacing w:line="360" w:lineRule="auto"/>
        <w:rPr>
          <w:rFonts w:hint="eastAsia" w:ascii="宋体" w:hAnsi="宋体" w:eastAsia="宋体" w:cs="宋体"/>
          <w:color w:val="auto"/>
          <w:highlight w:val="none"/>
        </w:rPr>
      </w:pPr>
      <w:r>
        <w:rPr>
          <w:rFonts w:hint="eastAsia" w:ascii="宋体" w:hAnsi="宋体" w:eastAsia="宋体" w:cs="宋体"/>
          <w:bCs/>
          <w:snapToGrid w:val="0"/>
          <w:color w:val="auto"/>
          <w:kern w:val="0"/>
          <w:sz w:val="24"/>
          <w:szCs w:val="24"/>
          <w:highlight w:val="none"/>
          <w:lang w:val="en-GB"/>
        </w:rPr>
        <w:t>不合格的</w:t>
      </w:r>
      <w:r>
        <w:rPr>
          <w:rFonts w:hint="eastAsia" w:ascii="宋体" w:hAnsi="宋体" w:eastAsia="宋体" w:cs="宋体"/>
          <w:bCs/>
          <w:snapToGrid w:val="0"/>
          <w:color w:val="auto"/>
          <w:kern w:val="0"/>
          <w:sz w:val="24"/>
          <w:szCs w:val="24"/>
          <w:highlight w:val="none"/>
          <w:lang w:val="en-GB" w:eastAsia="zh-CN"/>
        </w:rPr>
        <w:t>投标人</w:t>
      </w:r>
      <w:r>
        <w:rPr>
          <w:rFonts w:hint="eastAsia" w:ascii="宋体" w:hAnsi="宋体" w:eastAsia="宋体" w:cs="宋体"/>
          <w:bCs/>
          <w:snapToGrid w:val="0"/>
          <w:color w:val="auto"/>
          <w:kern w:val="0"/>
          <w:sz w:val="24"/>
          <w:szCs w:val="24"/>
          <w:highlight w:val="none"/>
          <w:lang w:val="en-GB"/>
        </w:rPr>
        <w:t>参与本项目投标可认定为无效投标行为，对其提供的货物、工程和伴随服务，采购人和采购代理机构拒绝为其承担任何责任义务，且不予支付任何费用。</w:t>
      </w:r>
    </w:p>
    <w:p>
      <w:pPr>
        <w:numPr>
          <w:ilvl w:val="0"/>
          <w:numId w:val="24"/>
        </w:numPr>
        <w:shd w:val="clear" w:color="auto" w:fill="auto"/>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同义词语</w:t>
      </w:r>
    </w:p>
    <w:p>
      <w:pPr>
        <w:shd w:val="clear" w:color="auto" w:fill="auto"/>
        <w:spacing w:line="360" w:lineRule="auto"/>
        <w:ind w:firstLine="559" w:firstLineChars="233"/>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以下词语应按相同定义进行理解：</w:t>
      </w:r>
    </w:p>
    <w:p>
      <w:pPr>
        <w:numPr>
          <w:ilvl w:val="0"/>
          <w:numId w:val="27"/>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“中标”与“成交”。</w:t>
      </w:r>
    </w:p>
    <w:p>
      <w:pPr>
        <w:numPr>
          <w:ilvl w:val="0"/>
          <w:numId w:val="27"/>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采购阶段</w:t>
      </w:r>
      <w:r>
        <w:rPr>
          <w:rFonts w:hint="eastAsia" w:ascii="宋体" w:hAnsi="宋体" w:eastAsia="宋体" w:cs="宋体"/>
          <w:color w:val="auto"/>
          <w:kern w:val="0"/>
          <w:sz w:val="24"/>
          <w:szCs w:val="24"/>
          <w:highlight w:val="none"/>
          <w:lang w:val="en-GB"/>
        </w:rPr>
        <w:t>的“采购人”“</w:t>
      </w:r>
      <w:r>
        <w:rPr>
          <w:rFonts w:hint="eastAsia" w:ascii="宋体" w:hAnsi="宋体" w:eastAsia="宋体" w:cs="宋体"/>
          <w:color w:val="auto"/>
          <w:kern w:val="0"/>
          <w:sz w:val="24"/>
          <w:szCs w:val="24"/>
          <w:highlight w:val="none"/>
          <w:lang w:val="en-GB" w:eastAsia="zh-CN"/>
        </w:rPr>
        <w:t>采购单位</w:t>
      </w:r>
      <w:r>
        <w:rPr>
          <w:rFonts w:hint="eastAsia" w:ascii="宋体" w:hAnsi="宋体" w:eastAsia="宋体" w:cs="宋体"/>
          <w:color w:val="auto"/>
          <w:kern w:val="0"/>
          <w:sz w:val="24"/>
          <w:szCs w:val="24"/>
          <w:highlight w:val="none"/>
          <w:lang w:val="en-GB"/>
        </w:rPr>
        <w:t>”“招标单位”“</w:t>
      </w:r>
      <w:r>
        <w:rPr>
          <w:rFonts w:hint="eastAsia" w:ascii="宋体" w:hAnsi="宋体" w:eastAsia="宋体" w:cs="宋体"/>
          <w:color w:val="auto"/>
          <w:kern w:val="0"/>
          <w:sz w:val="24"/>
          <w:szCs w:val="24"/>
          <w:highlight w:val="none"/>
          <w:lang w:val="en-GB" w:eastAsia="zh-CN"/>
        </w:rPr>
        <w:t>用户</w:t>
      </w:r>
      <w:r>
        <w:rPr>
          <w:rFonts w:hint="eastAsia" w:ascii="宋体" w:hAnsi="宋体" w:eastAsia="宋体" w:cs="宋体"/>
          <w:color w:val="auto"/>
          <w:kern w:val="0"/>
          <w:sz w:val="24"/>
          <w:szCs w:val="24"/>
          <w:highlight w:val="none"/>
          <w:lang w:val="en-GB"/>
        </w:rPr>
        <w:t>”“</w:t>
      </w:r>
      <w:r>
        <w:rPr>
          <w:rFonts w:hint="eastAsia" w:ascii="宋体" w:hAnsi="宋体" w:eastAsia="宋体" w:cs="宋体"/>
          <w:color w:val="auto"/>
          <w:kern w:val="0"/>
          <w:sz w:val="24"/>
          <w:szCs w:val="24"/>
          <w:highlight w:val="none"/>
          <w:lang w:val="en-GB" w:eastAsia="zh-CN"/>
        </w:rPr>
        <w:t>业主</w:t>
      </w:r>
      <w:r>
        <w:rPr>
          <w:rFonts w:hint="eastAsia" w:ascii="宋体" w:hAnsi="宋体" w:eastAsia="宋体" w:cs="宋体"/>
          <w:color w:val="auto"/>
          <w:kern w:val="0"/>
          <w:sz w:val="24"/>
          <w:szCs w:val="24"/>
          <w:highlight w:val="none"/>
          <w:lang w:val="en-GB"/>
        </w:rPr>
        <w:t>”“</w:t>
      </w:r>
      <w:r>
        <w:rPr>
          <w:rFonts w:hint="eastAsia" w:ascii="宋体" w:hAnsi="宋体" w:eastAsia="宋体" w:cs="宋体"/>
          <w:color w:val="auto"/>
          <w:kern w:val="0"/>
          <w:sz w:val="24"/>
          <w:szCs w:val="24"/>
          <w:highlight w:val="none"/>
          <w:lang w:val="en-GB" w:eastAsia="zh-CN"/>
        </w:rPr>
        <w:t>采购人</w:t>
      </w:r>
      <w:r>
        <w:rPr>
          <w:rFonts w:hint="eastAsia" w:ascii="宋体" w:hAnsi="宋体" w:eastAsia="宋体" w:cs="宋体"/>
          <w:color w:val="auto"/>
          <w:kern w:val="0"/>
          <w:sz w:val="24"/>
          <w:szCs w:val="24"/>
          <w:highlight w:val="none"/>
          <w:lang w:val="en-GB"/>
        </w:rPr>
        <w:t>”及合同签订阶段的“甲方”“买方”“发包人”“委托方”。</w:t>
      </w:r>
    </w:p>
    <w:p>
      <w:pPr>
        <w:numPr>
          <w:ilvl w:val="0"/>
          <w:numId w:val="27"/>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采购阶段</w:t>
      </w:r>
      <w:r>
        <w:rPr>
          <w:rFonts w:hint="eastAsia" w:ascii="宋体" w:hAnsi="宋体" w:eastAsia="宋体" w:cs="宋体"/>
          <w:color w:val="auto"/>
          <w:kern w:val="0"/>
          <w:sz w:val="24"/>
          <w:szCs w:val="24"/>
          <w:highlight w:val="none"/>
          <w:lang w:val="en-GB"/>
        </w:rPr>
        <w:t>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w:t>
      </w:r>
      <w:r>
        <w:rPr>
          <w:rFonts w:hint="eastAsia" w:ascii="宋体" w:hAnsi="宋体" w:eastAsia="宋体" w:cs="宋体"/>
          <w:color w:val="auto"/>
          <w:kern w:val="0"/>
          <w:sz w:val="24"/>
          <w:szCs w:val="24"/>
          <w:highlight w:val="none"/>
          <w:lang w:val="en-GB" w:eastAsia="zh-CN"/>
        </w:rPr>
        <w:t>供应商</w:t>
      </w:r>
      <w:r>
        <w:rPr>
          <w:rFonts w:hint="eastAsia" w:ascii="宋体" w:hAnsi="宋体" w:eastAsia="宋体" w:cs="宋体"/>
          <w:color w:val="auto"/>
          <w:kern w:val="0"/>
          <w:sz w:val="24"/>
          <w:szCs w:val="24"/>
          <w:highlight w:val="none"/>
          <w:lang w:val="en-GB"/>
        </w:rPr>
        <w:t>”及合同签订阶段的“乙方”“卖方”“承包人”、其他专业合同中特指的“受托方”；</w:t>
      </w:r>
    </w:p>
    <w:p>
      <w:pPr>
        <w:numPr>
          <w:ilvl w:val="0"/>
          <w:numId w:val="27"/>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采购阶段</w:t>
      </w:r>
      <w:r>
        <w:rPr>
          <w:rFonts w:hint="eastAsia" w:ascii="宋体" w:hAnsi="宋体" w:eastAsia="宋体" w:cs="宋体"/>
          <w:color w:val="auto"/>
          <w:kern w:val="0"/>
          <w:sz w:val="24"/>
          <w:szCs w:val="24"/>
          <w:highlight w:val="none"/>
          <w:lang w:val="en-GB"/>
        </w:rPr>
        <w:t>的“</w:t>
      </w:r>
      <w:r>
        <w:rPr>
          <w:rFonts w:hint="eastAsia" w:ascii="宋体" w:hAnsi="宋体" w:eastAsia="宋体" w:cs="宋体"/>
          <w:color w:val="auto"/>
          <w:kern w:val="0"/>
          <w:sz w:val="24"/>
          <w:szCs w:val="24"/>
          <w:highlight w:val="none"/>
          <w:lang w:val="en-GB" w:eastAsia="zh-CN"/>
        </w:rPr>
        <w:t>中标人</w:t>
      </w:r>
      <w:r>
        <w:rPr>
          <w:rFonts w:hint="eastAsia" w:ascii="宋体" w:hAnsi="宋体" w:eastAsia="宋体" w:cs="宋体"/>
          <w:color w:val="auto"/>
          <w:kern w:val="0"/>
          <w:sz w:val="24"/>
          <w:szCs w:val="24"/>
          <w:highlight w:val="none"/>
          <w:lang w:val="en-GB"/>
        </w:rPr>
        <w:t>”“</w:t>
      </w:r>
      <w:r>
        <w:rPr>
          <w:rFonts w:hint="eastAsia" w:ascii="宋体" w:hAnsi="宋体" w:eastAsia="宋体" w:cs="宋体"/>
          <w:color w:val="auto"/>
          <w:kern w:val="0"/>
          <w:sz w:val="24"/>
          <w:szCs w:val="24"/>
          <w:highlight w:val="none"/>
          <w:lang w:val="en-GB" w:eastAsia="zh-CN"/>
        </w:rPr>
        <w:t>中标供应商</w:t>
      </w:r>
      <w:r>
        <w:rPr>
          <w:rFonts w:hint="eastAsia" w:ascii="宋体" w:hAnsi="宋体" w:eastAsia="宋体" w:cs="宋体"/>
          <w:color w:val="auto"/>
          <w:kern w:val="0"/>
          <w:sz w:val="24"/>
          <w:szCs w:val="24"/>
          <w:highlight w:val="none"/>
          <w:lang w:val="en-GB"/>
        </w:rPr>
        <w:t>”及合同签订阶段的“乙方”“卖方”“承包人”、其他专业合同中特指的“受托方”。</w:t>
      </w:r>
    </w:p>
    <w:p>
      <w:pPr>
        <w:shd w:val="clear" w:color="auto" w:fill="auto"/>
        <w:spacing w:line="360" w:lineRule="auto"/>
        <w:rPr>
          <w:rFonts w:hint="eastAsia" w:ascii="宋体" w:hAnsi="宋体" w:eastAsia="宋体" w:cs="宋体"/>
          <w:color w:val="auto"/>
          <w:kern w:val="0"/>
          <w:sz w:val="24"/>
          <w:szCs w:val="32"/>
          <w:highlight w:val="none"/>
          <w:lang w:val="en-GB"/>
        </w:rPr>
      </w:pPr>
    </w:p>
    <w:p>
      <w:pPr>
        <w:pStyle w:val="3"/>
        <w:shd w:val="clear" w:color="auto" w:fill="auto"/>
        <w:spacing w:before="0" w:after="0" w:line="360" w:lineRule="auto"/>
        <w:jc w:val="center"/>
        <w:rPr>
          <w:rFonts w:hint="eastAsia" w:ascii="宋体" w:hAnsi="宋体" w:eastAsia="宋体" w:cs="宋体"/>
          <w:color w:val="auto"/>
          <w:kern w:val="0"/>
          <w:highlight w:val="none"/>
        </w:rPr>
      </w:pPr>
      <w:bookmarkStart w:id="26" w:name="_Toc27474"/>
      <w:bookmarkStart w:id="27" w:name="_Toc24292"/>
      <w:r>
        <w:rPr>
          <w:rFonts w:hint="eastAsia" w:ascii="宋体" w:hAnsi="宋体" w:eastAsia="宋体" w:cs="宋体"/>
          <w:color w:val="auto"/>
          <w:kern w:val="0"/>
          <w:highlight w:val="none"/>
        </w:rPr>
        <w:t>二、</w:t>
      </w:r>
      <w:r>
        <w:rPr>
          <w:rFonts w:hint="eastAsia" w:ascii="宋体" w:hAnsi="宋体" w:eastAsia="宋体" w:cs="宋体"/>
          <w:color w:val="auto"/>
          <w:kern w:val="0"/>
          <w:highlight w:val="none"/>
          <w:lang w:eastAsia="zh-CN"/>
        </w:rPr>
        <w:t>招标文件</w:t>
      </w:r>
      <w:r>
        <w:rPr>
          <w:rFonts w:hint="eastAsia" w:ascii="宋体" w:hAnsi="宋体" w:eastAsia="宋体" w:cs="宋体"/>
          <w:color w:val="auto"/>
          <w:kern w:val="0"/>
          <w:highlight w:val="none"/>
        </w:rPr>
        <w:t>的说明</w:t>
      </w:r>
      <w:bookmarkEnd w:id="26"/>
      <w:bookmarkEnd w:id="27"/>
    </w:p>
    <w:p>
      <w:pPr>
        <w:numPr>
          <w:ilvl w:val="0"/>
          <w:numId w:val="28"/>
        </w:numPr>
        <w:shd w:val="clear" w:color="auto" w:fill="auto"/>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eastAsia="zh-CN"/>
        </w:rPr>
        <w:t>招标文件</w:t>
      </w:r>
      <w:r>
        <w:rPr>
          <w:rFonts w:hint="eastAsia" w:ascii="宋体" w:hAnsi="宋体" w:eastAsia="宋体" w:cs="宋体"/>
          <w:b/>
          <w:color w:val="auto"/>
          <w:kern w:val="0"/>
          <w:sz w:val="24"/>
          <w:szCs w:val="24"/>
          <w:highlight w:val="none"/>
          <w:lang w:val="en-GB"/>
        </w:rPr>
        <w:t>的组成和语言</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本文件是采购</w:t>
      </w:r>
      <w:r>
        <w:rPr>
          <w:rFonts w:hint="eastAsia" w:ascii="宋体" w:hAnsi="宋体" w:eastAsia="宋体" w:cs="宋体"/>
          <w:color w:val="auto"/>
          <w:kern w:val="0"/>
          <w:sz w:val="24"/>
          <w:szCs w:val="24"/>
          <w:highlight w:val="none"/>
          <w:lang w:val="en-GB" w:eastAsia="zh-CN"/>
        </w:rPr>
        <w:t>人</w:t>
      </w:r>
      <w:r>
        <w:rPr>
          <w:rFonts w:hint="eastAsia" w:ascii="宋体" w:hAnsi="宋体" w:eastAsia="宋体" w:cs="宋体"/>
          <w:color w:val="auto"/>
          <w:kern w:val="0"/>
          <w:sz w:val="24"/>
          <w:szCs w:val="24"/>
          <w:highlight w:val="none"/>
          <w:lang w:val="en-GB"/>
        </w:rPr>
        <w:t>阐明所实施的</w:t>
      </w:r>
      <w:r>
        <w:rPr>
          <w:rFonts w:hint="eastAsia" w:ascii="宋体" w:hAnsi="宋体" w:eastAsia="宋体" w:cs="宋体"/>
          <w:color w:val="auto"/>
          <w:kern w:val="0"/>
          <w:sz w:val="24"/>
          <w:szCs w:val="24"/>
          <w:highlight w:val="none"/>
          <w:lang w:val="en-GB" w:eastAsia="zh-CN"/>
        </w:rPr>
        <w:t>采购需求</w:t>
      </w:r>
      <w:r>
        <w:rPr>
          <w:rFonts w:hint="eastAsia" w:ascii="宋体" w:hAnsi="宋体" w:eastAsia="宋体" w:cs="宋体"/>
          <w:color w:val="auto"/>
          <w:kern w:val="0"/>
          <w:sz w:val="24"/>
          <w:szCs w:val="24"/>
          <w:highlight w:val="none"/>
          <w:lang w:val="en-GB"/>
        </w:rPr>
        <w:t>、投标规约等综合性文件，</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、投标文件、评审结果、中标通知书、合同书和相关承诺确认文件，均作为约束当事人行为的重要标准，各方当事人均应以最基本的职业道德和商业诚信履行自己应尽的责任义务。</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highlight w:val="none"/>
          <w:lang w:val="en-GB" w:eastAsia="zh-CN"/>
        </w:rPr>
        <w:t>招标文件</w:t>
      </w:r>
      <w:r>
        <w:rPr>
          <w:rFonts w:hint="eastAsia" w:ascii="宋体" w:hAnsi="宋体" w:eastAsia="宋体" w:cs="宋体"/>
          <w:color w:val="auto"/>
          <w:kern w:val="0"/>
          <w:sz w:val="24"/>
          <w:highlight w:val="none"/>
          <w:lang w:val="en-GB"/>
        </w:rPr>
        <w:t>分为纸质文件和电子文档形式，两种介质的文件内容均为一致且具有同等效力，不一致时以纸质文件为准。</w:t>
      </w:r>
      <w:r>
        <w:rPr>
          <w:rFonts w:hint="eastAsia" w:ascii="宋体" w:hAnsi="宋体" w:eastAsia="宋体" w:cs="宋体"/>
          <w:color w:val="auto"/>
          <w:kern w:val="0"/>
          <w:sz w:val="24"/>
          <w:highlight w:val="none"/>
          <w:lang w:val="en-GB" w:eastAsia="zh-CN"/>
        </w:rPr>
        <w:t>招标文件</w:t>
      </w:r>
      <w:r>
        <w:rPr>
          <w:rFonts w:hint="eastAsia" w:ascii="宋体" w:hAnsi="宋体" w:eastAsia="宋体" w:cs="宋体"/>
          <w:color w:val="auto"/>
          <w:kern w:val="0"/>
          <w:sz w:val="24"/>
          <w:highlight w:val="none"/>
          <w:lang w:val="en-GB"/>
        </w:rPr>
        <w:t>由下列文件组成</w:t>
      </w:r>
      <w:r>
        <w:rPr>
          <w:rFonts w:hint="eastAsia" w:ascii="宋体" w:hAnsi="宋体" w:eastAsia="宋体" w:cs="宋体"/>
          <w:color w:val="auto"/>
          <w:kern w:val="0"/>
          <w:sz w:val="24"/>
          <w:szCs w:val="24"/>
          <w:highlight w:val="none"/>
          <w:lang w:val="en-GB"/>
        </w:rPr>
        <w:t>：</w:t>
      </w:r>
    </w:p>
    <w:p>
      <w:pPr>
        <w:numPr>
          <w:ilvl w:val="0"/>
          <w:numId w:val="29"/>
        </w:numPr>
        <w:shd w:val="clear" w:color="auto" w:fill="auto"/>
        <w:tabs>
          <w:tab w:val="left" w:pos="540"/>
        </w:tabs>
        <w:spacing w:line="360" w:lineRule="auto"/>
        <w:ind w:firstLine="480" w:firstLineChars="200"/>
        <w:rPr>
          <w:rFonts w:hint="eastAsia" w:ascii="宋体" w:hAnsi="宋体" w:eastAsia="宋体" w:cs="宋体"/>
          <w:color w:val="auto"/>
          <w:kern w:val="0"/>
          <w:sz w:val="24"/>
          <w:szCs w:val="24"/>
          <w:highlight w:val="none"/>
          <w:lang w:val="en-GB"/>
        </w:rPr>
      </w:pPr>
      <w:r>
        <w:rPr>
          <w:rFonts w:hint="eastAsia" w:ascii="宋体" w:hAnsi="宋体" w:cs="宋体"/>
          <w:color w:val="auto"/>
          <w:kern w:val="0"/>
          <w:sz w:val="24"/>
          <w:szCs w:val="24"/>
          <w:highlight w:val="none"/>
          <w:lang w:val="en-GB" w:eastAsia="zh-CN"/>
        </w:rPr>
        <w:t>投标邀请书</w:t>
      </w:r>
    </w:p>
    <w:p>
      <w:pPr>
        <w:numPr>
          <w:ilvl w:val="0"/>
          <w:numId w:val="29"/>
        </w:numPr>
        <w:shd w:val="clear" w:color="auto" w:fill="auto"/>
        <w:tabs>
          <w:tab w:val="left" w:pos="540"/>
        </w:tabs>
        <w:spacing w:line="360" w:lineRule="auto"/>
        <w:ind w:firstLine="480" w:firstLineChars="20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采购需求</w:t>
      </w:r>
    </w:p>
    <w:p>
      <w:pPr>
        <w:numPr>
          <w:ilvl w:val="0"/>
          <w:numId w:val="29"/>
        </w:numPr>
        <w:shd w:val="clear" w:color="auto" w:fill="auto"/>
        <w:tabs>
          <w:tab w:val="left" w:pos="540"/>
        </w:tabs>
        <w:spacing w:line="360" w:lineRule="auto"/>
        <w:ind w:firstLine="480" w:firstLineChars="20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投标人须知</w:t>
      </w:r>
    </w:p>
    <w:p>
      <w:pPr>
        <w:numPr>
          <w:ilvl w:val="0"/>
          <w:numId w:val="29"/>
        </w:numPr>
        <w:shd w:val="clear" w:color="auto" w:fill="auto"/>
        <w:tabs>
          <w:tab w:val="left" w:pos="540"/>
        </w:tabs>
        <w:spacing w:line="360" w:lineRule="auto"/>
        <w:ind w:firstLine="480" w:firstLineChars="20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评审办法及标准</w:t>
      </w:r>
    </w:p>
    <w:p>
      <w:pPr>
        <w:numPr>
          <w:ilvl w:val="0"/>
          <w:numId w:val="29"/>
        </w:numPr>
        <w:shd w:val="clear" w:color="auto" w:fill="auto"/>
        <w:tabs>
          <w:tab w:val="left" w:pos="540"/>
        </w:tabs>
        <w:spacing w:line="360" w:lineRule="auto"/>
        <w:ind w:firstLine="480" w:firstLineChars="20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合同书范本</w:t>
      </w:r>
    </w:p>
    <w:p>
      <w:pPr>
        <w:numPr>
          <w:ilvl w:val="0"/>
          <w:numId w:val="29"/>
        </w:numPr>
        <w:shd w:val="clear" w:color="auto" w:fill="auto"/>
        <w:tabs>
          <w:tab w:val="left" w:pos="540"/>
        </w:tabs>
        <w:spacing w:line="360" w:lineRule="auto"/>
        <w:ind w:firstLine="480" w:firstLineChars="20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投标文件格式</w:t>
      </w:r>
    </w:p>
    <w:p>
      <w:pPr>
        <w:numPr>
          <w:ilvl w:val="0"/>
          <w:numId w:val="29"/>
        </w:numPr>
        <w:shd w:val="clear" w:color="auto" w:fill="auto"/>
        <w:tabs>
          <w:tab w:val="left" w:pos="540"/>
        </w:tabs>
        <w:spacing w:line="360" w:lineRule="auto"/>
        <w:ind w:firstLine="480" w:firstLineChars="20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在招标过程中由采购人或采购代理机构发出的澄清（答疑）、修正和补充文件等。</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中重复描述的内容出现不一致时，均以文件中首次对该内容描述为准。</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应认真阅读并充分理解</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的全部内容（包括所有的补充、修改内容、重要事项、格式、条款和技术规范、参数及要求等）。</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没有按照</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要求提交全部资料，或者投标没有对</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在各方面都</w:t>
      </w:r>
      <w:r>
        <w:rPr>
          <w:rFonts w:hint="eastAsia" w:ascii="宋体" w:hAnsi="宋体" w:eastAsia="宋体" w:cs="宋体"/>
          <w:color w:val="auto"/>
          <w:kern w:val="0"/>
          <w:sz w:val="24"/>
          <w:szCs w:val="24"/>
          <w:highlight w:val="none"/>
          <w:lang w:val="en-GB" w:eastAsia="zh-CN"/>
        </w:rPr>
        <w:t>作出</w:t>
      </w:r>
      <w:r>
        <w:rPr>
          <w:rFonts w:hint="eastAsia" w:ascii="宋体" w:hAnsi="宋体" w:eastAsia="宋体" w:cs="宋体"/>
          <w:color w:val="auto"/>
          <w:kern w:val="0"/>
          <w:sz w:val="24"/>
          <w:szCs w:val="24"/>
          <w:highlight w:val="none"/>
          <w:lang w:val="en-GB"/>
        </w:rPr>
        <w:t>实质性响应是</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的风险，有可能导致其投标被拒绝，或被认定为无效投标。</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采购过程中的一切补充文件一旦确认后与主体源文件均具有同等法律效力，</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均视为知悉无疑并依照最后确认的文件执行。一切要约承诺未经合同缔约方同意不得擅自变更、撤销或转让。</w:t>
      </w:r>
      <w:bookmarkStart w:id="28" w:name="_Toc55812447"/>
      <w:bookmarkStart w:id="29" w:name="_Toc49329256"/>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的专业技术内容如涉及到有官方强制性要求或行业标准规范限制和禁止性内容时，应以官方强制性要求或行业标准规范为准；否则，以本</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约定的技术要求为准。</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除技术要求中另有规定外，</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所要求使用的计量单位均采用国家法定的度、量、衡标准单位计量。</w:t>
      </w:r>
    </w:p>
    <w:p>
      <w:pPr>
        <w:numPr>
          <w:ilvl w:val="0"/>
          <w:numId w:val="28"/>
        </w:numPr>
        <w:shd w:val="clear" w:color="auto" w:fill="auto"/>
        <w:spacing w:before="312" w:beforeLines="100" w:line="360" w:lineRule="auto"/>
        <w:rPr>
          <w:rFonts w:hint="eastAsia" w:ascii="宋体" w:hAnsi="宋体" w:eastAsia="宋体" w:cs="宋体"/>
          <w:b/>
          <w:color w:val="auto"/>
          <w:kern w:val="0"/>
          <w:sz w:val="24"/>
          <w:szCs w:val="24"/>
          <w:highlight w:val="none"/>
          <w:lang w:val="en-GB"/>
        </w:rPr>
      </w:pPr>
      <w:bookmarkStart w:id="30" w:name="_Toc276220259"/>
      <w:bookmarkStart w:id="31" w:name="_Toc276220240"/>
      <w:bookmarkStart w:id="32" w:name="_Toc275954887"/>
      <w:bookmarkStart w:id="33" w:name="_Toc113157423"/>
      <w:r>
        <w:rPr>
          <w:rFonts w:hint="eastAsia" w:ascii="宋体" w:hAnsi="宋体" w:eastAsia="宋体" w:cs="宋体"/>
          <w:b/>
          <w:color w:val="auto"/>
          <w:kern w:val="0"/>
          <w:sz w:val="24"/>
          <w:szCs w:val="24"/>
          <w:highlight w:val="none"/>
          <w:lang w:val="en-GB" w:eastAsia="zh-CN"/>
        </w:rPr>
        <w:t>招标文件</w:t>
      </w:r>
      <w:r>
        <w:rPr>
          <w:rFonts w:hint="eastAsia" w:ascii="宋体" w:hAnsi="宋体" w:eastAsia="宋体" w:cs="宋体"/>
          <w:b/>
          <w:color w:val="auto"/>
          <w:kern w:val="0"/>
          <w:sz w:val="24"/>
          <w:szCs w:val="24"/>
          <w:highlight w:val="none"/>
          <w:lang w:val="en-GB"/>
        </w:rPr>
        <w:t>的澄清</w:t>
      </w:r>
    </w:p>
    <w:bookmarkEnd w:id="28"/>
    <w:bookmarkEnd w:id="29"/>
    <w:bookmarkEnd w:id="30"/>
    <w:bookmarkEnd w:id="31"/>
    <w:bookmarkEnd w:id="32"/>
    <w:bookmarkEnd w:id="33"/>
    <w:p>
      <w:pPr>
        <w:numPr>
          <w:ilvl w:val="1"/>
          <w:numId w:val="28"/>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必须认真阅读理解</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的各项要求，</w:t>
      </w:r>
      <w:r>
        <w:rPr>
          <w:rFonts w:hint="eastAsia" w:ascii="宋体" w:hAnsi="宋体" w:eastAsia="宋体" w:cs="宋体"/>
          <w:snapToGrid w:val="0"/>
          <w:color w:val="auto"/>
          <w:kern w:val="0"/>
          <w:sz w:val="24"/>
          <w:szCs w:val="24"/>
          <w:highlight w:val="none"/>
          <w:lang w:val="en-GB"/>
        </w:rPr>
        <w:t>如有任何疑问经向采购人或采购代理机构咨询后仍无法解决时，</w:t>
      </w:r>
      <w:r>
        <w:rPr>
          <w:rFonts w:hint="eastAsia" w:ascii="宋体" w:hAnsi="宋体" w:eastAsia="宋体" w:cs="宋体"/>
          <w:color w:val="auto"/>
          <w:kern w:val="0"/>
          <w:sz w:val="24"/>
          <w:szCs w:val="24"/>
          <w:highlight w:val="none"/>
          <w:lang w:val="en-GB"/>
        </w:rPr>
        <w:t>应在法定时间内，以书面形式向采购代理机构提出澄清要求</w:t>
      </w:r>
      <w:r>
        <w:rPr>
          <w:rFonts w:hint="eastAsia" w:ascii="宋体" w:hAnsi="宋体" w:eastAsia="宋体" w:cs="宋体"/>
          <w:snapToGrid w:val="0"/>
          <w:color w:val="auto"/>
          <w:kern w:val="0"/>
          <w:sz w:val="24"/>
          <w:szCs w:val="24"/>
          <w:highlight w:val="none"/>
          <w:lang w:val="en-GB"/>
        </w:rPr>
        <w:t>。</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在规定的时间内未对</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提出澄清要求或提出疑问的，将视其为无</w:t>
      </w:r>
      <w:r>
        <w:rPr>
          <w:rFonts w:hint="eastAsia" w:ascii="宋体" w:hAnsi="宋体" w:eastAsia="宋体" w:cs="宋体"/>
          <w:color w:val="auto"/>
          <w:kern w:val="0"/>
          <w:sz w:val="24"/>
          <w:szCs w:val="24"/>
          <w:highlight w:val="none"/>
          <w:lang w:val="en-GB" w:eastAsia="zh-CN"/>
        </w:rPr>
        <w:t>异议</w:t>
      </w:r>
      <w:r>
        <w:rPr>
          <w:rFonts w:hint="eastAsia" w:ascii="宋体" w:hAnsi="宋体" w:eastAsia="宋体" w:cs="宋体"/>
          <w:color w:val="auto"/>
          <w:kern w:val="0"/>
          <w:sz w:val="24"/>
          <w:szCs w:val="24"/>
          <w:highlight w:val="none"/>
          <w:lang w:val="en-GB"/>
        </w:rPr>
        <w:t>。</w:t>
      </w:r>
    </w:p>
    <w:p>
      <w:pPr>
        <w:numPr>
          <w:ilvl w:val="1"/>
          <w:numId w:val="28"/>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采购代理机构对书面方式提出的</w:t>
      </w:r>
      <w:r>
        <w:rPr>
          <w:rFonts w:hint="eastAsia" w:ascii="宋体" w:hAnsi="宋体" w:eastAsia="宋体" w:cs="宋体"/>
          <w:color w:val="auto"/>
          <w:kern w:val="0"/>
          <w:sz w:val="24"/>
          <w:highlight w:val="none"/>
          <w:lang w:val="en-GB" w:eastAsia="zh-CN"/>
        </w:rPr>
        <w:t>招标文件</w:t>
      </w:r>
      <w:r>
        <w:rPr>
          <w:rFonts w:hint="eastAsia" w:ascii="宋体" w:hAnsi="宋体" w:eastAsia="宋体" w:cs="宋体"/>
          <w:color w:val="auto"/>
          <w:kern w:val="0"/>
          <w:sz w:val="24"/>
          <w:highlight w:val="none"/>
          <w:lang w:val="en-GB"/>
        </w:rPr>
        <w:t>澄清（答疑）要求均以书面形式予以答复（答复中不包括问题的来源）。潜在投标人在收到上述答复后，应于规定时间内在答复文件指定位置处加盖单位公章给予确认，并将该文件回复采购代理机构。书面形式的潜在投标人确认答复文件作为</w:t>
      </w:r>
      <w:r>
        <w:rPr>
          <w:rFonts w:hint="eastAsia" w:ascii="宋体" w:hAnsi="宋体" w:eastAsia="宋体" w:cs="宋体"/>
          <w:color w:val="auto"/>
          <w:kern w:val="0"/>
          <w:sz w:val="24"/>
          <w:highlight w:val="none"/>
          <w:lang w:val="en-GB" w:eastAsia="zh-CN"/>
        </w:rPr>
        <w:t>招标文件</w:t>
      </w:r>
      <w:r>
        <w:rPr>
          <w:rFonts w:hint="eastAsia" w:ascii="宋体" w:hAnsi="宋体" w:eastAsia="宋体" w:cs="宋体"/>
          <w:color w:val="auto"/>
          <w:kern w:val="0"/>
          <w:sz w:val="24"/>
          <w:highlight w:val="none"/>
          <w:lang w:val="en-GB"/>
        </w:rPr>
        <w:t>的组成部分，对其具有约束作用。若潜在投标人在规定时间内没有回复的，将视为已收到和确认该答复文件。</w:t>
      </w:r>
    </w:p>
    <w:p>
      <w:pPr>
        <w:numPr>
          <w:ilvl w:val="1"/>
          <w:numId w:val="28"/>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澄清的内容可能影响投标文件编制的，采购代理机构在投标截止时间至少15日前，以书面形式通知所有获取招标文件的潜在</w:t>
      </w:r>
      <w:r>
        <w:rPr>
          <w:rFonts w:hint="eastAsia" w:ascii="宋体" w:hAnsi="宋体" w:eastAsia="宋体" w:cs="宋体"/>
          <w:color w:val="auto"/>
          <w:kern w:val="0"/>
          <w:sz w:val="24"/>
          <w:highlight w:val="none"/>
          <w:lang w:val="en-GB" w:eastAsia="zh-CN"/>
        </w:rPr>
        <w:t>供应商</w:t>
      </w:r>
      <w:r>
        <w:rPr>
          <w:rFonts w:hint="eastAsia" w:ascii="宋体" w:hAnsi="宋体" w:eastAsia="宋体" w:cs="宋体"/>
          <w:color w:val="auto"/>
          <w:kern w:val="0"/>
          <w:sz w:val="24"/>
          <w:highlight w:val="none"/>
          <w:lang w:val="en-GB"/>
        </w:rPr>
        <w:t>；不足15日的，采购代理机构应当顺延提交投标文件的截止时间。</w:t>
      </w:r>
    </w:p>
    <w:p>
      <w:pPr>
        <w:numPr>
          <w:ilvl w:val="1"/>
          <w:numId w:val="28"/>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对</w:t>
      </w:r>
      <w:r>
        <w:rPr>
          <w:rFonts w:hint="eastAsia" w:ascii="宋体" w:hAnsi="宋体" w:eastAsia="宋体" w:cs="宋体"/>
          <w:color w:val="auto"/>
          <w:kern w:val="0"/>
          <w:sz w:val="24"/>
          <w:highlight w:val="none"/>
          <w:lang w:val="en-GB" w:eastAsia="zh-CN"/>
        </w:rPr>
        <w:t>招标文件</w:t>
      </w:r>
      <w:r>
        <w:rPr>
          <w:rFonts w:hint="eastAsia" w:ascii="宋体" w:hAnsi="宋体" w:eastAsia="宋体" w:cs="宋体"/>
          <w:color w:val="auto"/>
          <w:kern w:val="0"/>
          <w:sz w:val="24"/>
          <w:highlight w:val="none"/>
          <w:lang w:val="en-GB"/>
        </w:rPr>
        <w:t>中描述有歧义的条款，评标委员会有权进行评判，但对同一条款的评判应适用于每个投标人。</w:t>
      </w:r>
    </w:p>
    <w:p>
      <w:pPr>
        <w:numPr>
          <w:ilvl w:val="1"/>
          <w:numId w:val="28"/>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snapToGrid w:val="0"/>
          <w:color w:val="auto"/>
          <w:kern w:val="0"/>
          <w:sz w:val="24"/>
          <w:highlight w:val="none"/>
        </w:rPr>
        <w:t>澄清内容及资料</w:t>
      </w:r>
      <w:r>
        <w:rPr>
          <w:rFonts w:hint="eastAsia" w:ascii="宋体" w:hAnsi="宋体" w:cs="宋体"/>
          <w:snapToGrid w:val="0"/>
          <w:color w:val="auto"/>
          <w:kern w:val="0"/>
          <w:sz w:val="24"/>
          <w:highlight w:val="none"/>
          <w:lang w:val="en-US" w:eastAsia="zh-CN"/>
        </w:rPr>
        <w:t>以邮件形式</w:t>
      </w:r>
      <w:r>
        <w:rPr>
          <w:rFonts w:hint="eastAsia" w:ascii="宋体" w:hAnsi="宋体" w:eastAsia="宋体" w:cs="宋体"/>
          <w:snapToGrid w:val="0"/>
          <w:color w:val="auto"/>
          <w:kern w:val="0"/>
          <w:sz w:val="24"/>
          <w:highlight w:val="none"/>
        </w:rPr>
        <w:t>发放给所有投标人。</w:t>
      </w:r>
    </w:p>
    <w:p>
      <w:pPr>
        <w:numPr>
          <w:ilvl w:val="0"/>
          <w:numId w:val="28"/>
        </w:numPr>
        <w:shd w:val="clear" w:color="auto" w:fill="auto"/>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eastAsia="zh-CN"/>
        </w:rPr>
        <w:t>招标文件</w:t>
      </w:r>
      <w:r>
        <w:rPr>
          <w:rFonts w:hint="eastAsia" w:ascii="宋体" w:hAnsi="宋体" w:eastAsia="宋体" w:cs="宋体"/>
          <w:b/>
          <w:color w:val="auto"/>
          <w:kern w:val="0"/>
          <w:sz w:val="24"/>
          <w:szCs w:val="24"/>
          <w:highlight w:val="none"/>
          <w:lang w:val="en-GB"/>
        </w:rPr>
        <w:t>的修改</w:t>
      </w:r>
    </w:p>
    <w:p>
      <w:pPr>
        <w:numPr>
          <w:ilvl w:val="1"/>
          <w:numId w:val="28"/>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GB" w:eastAsia="zh-CN"/>
        </w:rPr>
        <w:t>在投标截止时间前，</w:t>
      </w:r>
      <w:r>
        <w:rPr>
          <w:rFonts w:hint="eastAsia" w:ascii="宋体" w:hAnsi="宋体" w:eastAsia="宋体" w:cs="宋体"/>
          <w:color w:val="auto"/>
          <w:kern w:val="0"/>
          <w:sz w:val="24"/>
          <w:szCs w:val="24"/>
          <w:highlight w:val="none"/>
          <w:lang w:val="en-GB"/>
        </w:rPr>
        <w:t>无论出于何种原因，</w:t>
      </w:r>
      <w:r>
        <w:rPr>
          <w:rFonts w:hint="eastAsia" w:ascii="宋体" w:hAnsi="宋体" w:eastAsia="宋体" w:cs="宋体"/>
          <w:color w:val="auto"/>
          <w:kern w:val="0"/>
          <w:sz w:val="24"/>
          <w:szCs w:val="24"/>
          <w:highlight w:val="none"/>
          <w:lang w:val="en-GB" w:eastAsia="zh-CN"/>
        </w:rPr>
        <w:t>采购人或</w:t>
      </w:r>
      <w:r>
        <w:rPr>
          <w:rFonts w:hint="eastAsia" w:ascii="宋体" w:hAnsi="宋体" w:eastAsia="宋体" w:cs="宋体"/>
          <w:color w:val="auto"/>
          <w:kern w:val="0"/>
          <w:sz w:val="24"/>
          <w:szCs w:val="24"/>
          <w:highlight w:val="none"/>
          <w:lang w:val="en-GB"/>
        </w:rPr>
        <w:t>采购代理机构可</w:t>
      </w:r>
      <w:r>
        <w:rPr>
          <w:rFonts w:hint="eastAsia" w:ascii="宋体" w:hAnsi="宋体" w:eastAsia="宋体" w:cs="宋体"/>
          <w:color w:val="auto"/>
          <w:kern w:val="0"/>
          <w:sz w:val="24"/>
          <w:szCs w:val="24"/>
          <w:highlight w:val="none"/>
          <w:lang w:val="en-GB" w:eastAsia="zh-CN"/>
        </w:rPr>
        <w:t>主动的或在</w:t>
      </w:r>
      <w:r>
        <w:rPr>
          <w:rFonts w:hint="eastAsia" w:ascii="宋体" w:hAnsi="宋体" w:eastAsia="宋体" w:cs="宋体"/>
          <w:color w:val="auto"/>
          <w:kern w:val="0"/>
          <w:sz w:val="24"/>
          <w:szCs w:val="24"/>
          <w:highlight w:val="none"/>
          <w:lang w:val="en-GB"/>
        </w:rPr>
        <w:t>解答</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提出的疑问时对</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进行修改。</w:t>
      </w:r>
    </w:p>
    <w:p>
      <w:pPr>
        <w:numPr>
          <w:ilvl w:val="1"/>
          <w:numId w:val="28"/>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招标文件的澄清修正内容将</w:t>
      </w:r>
      <w:r>
        <w:rPr>
          <w:rFonts w:hint="eastAsia" w:ascii="宋体" w:hAnsi="宋体" w:cs="宋体"/>
          <w:snapToGrid w:val="0"/>
          <w:color w:val="auto"/>
          <w:kern w:val="0"/>
          <w:sz w:val="24"/>
          <w:highlight w:val="none"/>
          <w:lang w:val="en-US" w:eastAsia="zh-CN"/>
        </w:rPr>
        <w:t>以邮件形式</w:t>
      </w:r>
      <w:r>
        <w:rPr>
          <w:rFonts w:hint="eastAsia" w:ascii="宋体" w:hAnsi="宋体" w:eastAsia="宋体" w:cs="宋体"/>
          <w:snapToGrid w:val="0"/>
          <w:color w:val="auto"/>
          <w:kern w:val="0"/>
          <w:sz w:val="24"/>
          <w:highlight w:val="none"/>
        </w:rPr>
        <w:t>发放给所有投标人</w:t>
      </w:r>
      <w:r>
        <w:rPr>
          <w:rFonts w:hint="eastAsia" w:ascii="宋体" w:hAnsi="宋体" w:eastAsia="宋体" w:cs="宋体"/>
          <w:color w:val="auto"/>
          <w:kern w:val="0"/>
          <w:sz w:val="24"/>
          <w:szCs w:val="24"/>
          <w:highlight w:val="none"/>
          <w:lang w:val="en-US" w:eastAsia="zh-CN" w:bidi="ar"/>
        </w:rPr>
        <w:t xml:space="preserve">。 </w:t>
      </w:r>
    </w:p>
    <w:p>
      <w:pPr>
        <w:numPr>
          <w:ilvl w:val="1"/>
          <w:numId w:val="28"/>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修改的内容可能影响投标文件编制的，采购代理机构在投标截止时间至少15日前发</w:t>
      </w:r>
      <w:r>
        <w:rPr>
          <w:rFonts w:hint="eastAsia" w:ascii="宋体" w:hAnsi="宋体" w:cs="宋体"/>
          <w:color w:val="auto"/>
          <w:kern w:val="0"/>
          <w:sz w:val="24"/>
          <w:szCs w:val="24"/>
          <w:highlight w:val="none"/>
          <w:lang w:val="en-US" w:eastAsia="zh-CN" w:bidi="ar"/>
        </w:rPr>
        <w:t>出</w:t>
      </w:r>
      <w:r>
        <w:rPr>
          <w:rFonts w:hint="eastAsia" w:ascii="宋体" w:hAnsi="宋体" w:eastAsia="宋体" w:cs="宋体"/>
          <w:color w:val="auto"/>
          <w:kern w:val="0"/>
          <w:sz w:val="24"/>
          <w:szCs w:val="24"/>
          <w:highlight w:val="none"/>
          <w:lang w:val="en-US" w:eastAsia="zh-CN" w:bidi="ar"/>
        </w:rPr>
        <w:t>更正</w:t>
      </w:r>
      <w:r>
        <w:rPr>
          <w:rFonts w:hint="eastAsia" w:ascii="宋体" w:hAnsi="宋体" w:cs="宋体"/>
          <w:color w:val="auto"/>
          <w:kern w:val="0"/>
          <w:sz w:val="24"/>
          <w:szCs w:val="24"/>
          <w:highlight w:val="none"/>
          <w:lang w:val="en-US" w:eastAsia="zh-CN" w:bidi="ar"/>
        </w:rPr>
        <w:t>通知</w:t>
      </w:r>
      <w:r>
        <w:rPr>
          <w:rFonts w:hint="eastAsia" w:ascii="宋体" w:hAnsi="宋体" w:eastAsia="宋体" w:cs="宋体"/>
          <w:color w:val="auto"/>
          <w:kern w:val="0"/>
          <w:sz w:val="24"/>
          <w:szCs w:val="24"/>
          <w:highlight w:val="none"/>
          <w:lang w:val="en-US" w:eastAsia="zh-CN" w:bidi="ar"/>
        </w:rPr>
        <w:t xml:space="preserve">；不足 15 日的，采购代理机构应当顺延提交投标文件的截止时间。 </w:t>
      </w:r>
    </w:p>
    <w:p>
      <w:pPr>
        <w:numPr>
          <w:ilvl w:val="1"/>
          <w:numId w:val="28"/>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招标文件的补充、修改或修正资料是招标文件的组成部分，</w:t>
      </w:r>
      <w:r>
        <w:rPr>
          <w:rFonts w:hint="eastAsia" w:ascii="宋体" w:hAnsi="宋体" w:cs="宋体"/>
          <w:snapToGrid w:val="0"/>
          <w:color w:val="auto"/>
          <w:kern w:val="0"/>
          <w:sz w:val="24"/>
          <w:highlight w:val="none"/>
          <w:lang w:val="en-US" w:eastAsia="zh-CN"/>
        </w:rPr>
        <w:t>以邮件形式</w:t>
      </w:r>
      <w:r>
        <w:rPr>
          <w:rFonts w:hint="eastAsia" w:ascii="宋体" w:hAnsi="宋体" w:eastAsia="宋体" w:cs="宋体"/>
          <w:snapToGrid w:val="0"/>
          <w:color w:val="auto"/>
          <w:kern w:val="0"/>
          <w:sz w:val="24"/>
          <w:highlight w:val="none"/>
        </w:rPr>
        <w:t>发放给所有投标人</w:t>
      </w:r>
      <w:r>
        <w:rPr>
          <w:rFonts w:hint="eastAsia" w:ascii="宋体" w:hAnsi="宋体" w:eastAsia="宋体" w:cs="宋体"/>
          <w:color w:val="auto"/>
          <w:kern w:val="0"/>
          <w:sz w:val="24"/>
          <w:szCs w:val="24"/>
          <w:highlight w:val="none"/>
          <w:lang w:val="en-US" w:eastAsia="zh-CN" w:bidi="ar"/>
        </w:rPr>
        <w:t xml:space="preserve">，并对投标人具有约束力。 </w:t>
      </w:r>
    </w:p>
    <w:p>
      <w:pPr>
        <w:numPr>
          <w:ilvl w:val="1"/>
          <w:numId w:val="28"/>
        </w:numPr>
        <w:shd w:val="clear" w:color="auto" w:fill="auto"/>
        <w:tabs>
          <w:tab w:val="left" w:pos="5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投标人应随时关注项目信息，对项目已发布的补充、修改或修正信息应及时查看，否则所造成的一切后果由投标人自负。 </w:t>
      </w:r>
    </w:p>
    <w:p>
      <w:pPr>
        <w:numPr>
          <w:ilvl w:val="0"/>
          <w:numId w:val="28"/>
        </w:numPr>
        <w:shd w:val="clear" w:color="auto" w:fill="auto"/>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其他说明：</w:t>
      </w:r>
    </w:p>
    <w:p>
      <w:pPr>
        <w:numPr>
          <w:ilvl w:val="1"/>
          <w:numId w:val="28"/>
        </w:numPr>
        <w:shd w:val="clear" w:color="auto" w:fill="auto"/>
        <w:tabs>
          <w:tab w:val="left" w:pos="540"/>
        </w:tabs>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招标文件</w:t>
      </w:r>
      <w:r>
        <w:rPr>
          <w:rFonts w:hint="eastAsia" w:ascii="宋体" w:hAnsi="宋体" w:eastAsia="宋体" w:cs="宋体"/>
          <w:snapToGrid w:val="0"/>
          <w:color w:val="auto"/>
          <w:kern w:val="0"/>
          <w:sz w:val="24"/>
          <w:szCs w:val="24"/>
          <w:highlight w:val="none"/>
        </w:rPr>
        <w:t>中未有注明具体配置的产品和相关服务，均以出厂标准配置或行业通用标准为准。</w:t>
      </w:r>
    </w:p>
    <w:p>
      <w:pPr>
        <w:numPr>
          <w:ilvl w:val="1"/>
          <w:numId w:val="28"/>
        </w:numPr>
        <w:shd w:val="clear" w:color="auto" w:fill="auto"/>
        <w:tabs>
          <w:tab w:val="left" w:pos="540"/>
        </w:tabs>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当约定对个别产品需要制造商出具技术服务或经销代理资格等证明书时，签证方必须是合法的生产制造企业或其驻中国大陆合法注册的直辖专属机构；且须具有所授权货物的生产（或经营）范围或符合我国相关法律、法规规定的授权或经营要求。签证方须同时负有监督管理供货渠道，确保产品质量和伴随的售后服务，履行相关连带责任和义务。</w:t>
      </w:r>
    </w:p>
    <w:p>
      <w:pPr>
        <w:numPr>
          <w:ilvl w:val="1"/>
          <w:numId w:val="28"/>
        </w:numPr>
        <w:shd w:val="clear" w:color="auto" w:fill="auto"/>
        <w:tabs>
          <w:tab w:val="left" w:pos="540"/>
        </w:tabs>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签证方不得滥用职权借此采取限制、排斥等手段设置投标障碍，人为破坏公平竞争和扰乱采购秩序，一旦受到举报，则其机构及个人须承担相应的一切后果和法律责任。</w:t>
      </w:r>
    </w:p>
    <w:p>
      <w:pPr>
        <w:numPr>
          <w:ilvl w:val="0"/>
          <w:numId w:val="28"/>
        </w:numPr>
        <w:shd w:val="clear" w:color="auto" w:fill="auto"/>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答疑会及踏勘现场</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如需举行答疑会，</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的项目主要负责人须按时出席，主办方将围绕</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的内容现场澄清、解答</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提出的问题，对个别内容确有必要作澄清修正时，采购方将集中统一后以书面形式通知各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收悉后须及时予以确认。</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出席答疑会及踏勘现场的费用、过失责任及风险均自行承担。</w:t>
      </w:r>
    </w:p>
    <w:p>
      <w:pPr>
        <w:numPr>
          <w:ilvl w:val="1"/>
          <w:numId w:val="2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对未有计划举行答疑会，而</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对采购项目存有疑惑时，应及时主动向采购代理机构或采购人了解项目详情。</w:t>
      </w:r>
    </w:p>
    <w:p>
      <w:pPr>
        <w:shd w:val="clear" w:color="auto" w:fill="auto"/>
        <w:tabs>
          <w:tab w:val="left" w:pos="540"/>
        </w:tabs>
        <w:spacing w:line="360" w:lineRule="auto"/>
        <w:ind w:left="510"/>
        <w:rPr>
          <w:rFonts w:hint="eastAsia" w:ascii="宋体" w:hAnsi="宋体" w:eastAsia="宋体" w:cs="宋体"/>
          <w:color w:val="auto"/>
          <w:kern w:val="0"/>
          <w:highlight w:val="none"/>
          <w:lang w:val="en-GB"/>
        </w:rPr>
      </w:pPr>
    </w:p>
    <w:p>
      <w:pPr>
        <w:pStyle w:val="3"/>
        <w:shd w:val="clear" w:color="auto" w:fill="auto"/>
        <w:spacing w:before="0" w:after="0" w:line="360" w:lineRule="auto"/>
        <w:jc w:val="center"/>
        <w:rPr>
          <w:rFonts w:hint="eastAsia" w:ascii="宋体" w:hAnsi="宋体" w:eastAsia="宋体" w:cs="宋体"/>
          <w:color w:val="auto"/>
          <w:kern w:val="0"/>
          <w:highlight w:val="none"/>
        </w:rPr>
      </w:pPr>
      <w:bookmarkStart w:id="34" w:name="_Toc5178"/>
      <w:bookmarkStart w:id="35" w:name="_Toc28498"/>
      <w:r>
        <w:rPr>
          <w:rFonts w:hint="eastAsia" w:ascii="宋体" w:hAnsi="宋体" w:eastAsia="宋体" w:cs="宋体"/>
          <w:color w:val="auto"/>
          <w:kern w:val="0"/>
          <w:highlight w:val="none"/>
        </w:rPr>
        <w:t>三、投标文件的说明</w:t>
      </w:r>
      <w:bookmarkEnd w:id="34"/>
      <w:bookmarkEnd w:id="35"/>
    </w:p>
    <w:p>
      <w:pPr>
        <w:numPr>
          <w:ilvl w:val="0"/>
          <w:numId w:val="30"/>
        </w:numPr>
        <w:shd w:val="clear" w:color="auto" w:fill="auto"/>
        <w:tabs>
          <w:tab w:val="left" w:pos="540"/>
        </w:tabs>
        <w:spacing w:before="312" w:beforeLines="100" w:line="360" w:lineRule="auto"/>
        <w:rPr>
          <w:rFonts w:hint="eastAsia" w:ascii="宋体" w:hAnsi="宋体" w:eastAsia="宋体" w:cs="宋体"/>
          <w:b/>
          <w:color w:val="auto"/>
          <w:kern w:val="0"/>
          <w:sz w:val="24"/>
          <w:szCs w:val="24"/>
          <w:highlight w:val="none"/>
          <w:lang w:val="en-GB"/>
        </w:rPr>
      </w:pPr>
      <w:bookmarkStart w:id="36" w:name="_Toc5575604"/>
      <w:bookmarkStart w:id="37" w:name="_Toc275954888"/>
      <w:bookmarkStart w:id="38" w:name="_Toc136662917"/>
      <w:bookmarkStart w:id="39" w:name="_Toc136682893"/>
      <w:bookmarkStart w:id="40" w:name="_Toc119321128"/>
      <w:bookmarkStart w:id="41" w:name="_Toc332090771"/>
      <w:bookmarkStart w:id="42" w:name="_Toc5578667"/>
      <w:bookmarkStart w:id="43" w:name="_Toc20571357"/>
      <w:bookmarkStart w:id="44" w:name="_Toc20564611"/>
      <w:bookmarkStart w:id="45" w:name="_Toc528736183"/>
      <w:bookmarkStart w:id="46" w:name="_Toc20144977"/>
      <w:bookmarkStart w:id="47" w:name="_Toc276220260"/>
      <w:bookmarkStart w:id="48" w:name="_Toc20564523"/>
      <w:r>
        <w:rPr>
          <w:rFonts w:hint="eastAsia" w:ascii="宋体" w:hAnsi="宋体" w:eastAsia="宋体" w:cs="宋体"/>
          <w:b/>
          <w:color w:val="auto"/>
          <w:kern w:val="0"/>
          <w:sz w:val="24"/>
          <w:szCs w:val="24"/>
          <w:highlight w:val="none"/>
          <w:lang w:val="en-GB"/>
        </w:rPr>
        <w:t>原则</w:t>
      </w:r>
      <w:bookmarkEnd w:id="36"/>
      <w:bookmarkEnd w:id="37"/>
      <w:bookmarkEnd w:id="38"/>
      <w:bookmarkEnd w:id="39"/>
      <w:bookmarkEnd w:id="40"/>
      <w:bookmarkEnd w:id="41"/>
      <w:bookmarkEnd w:id="42"/>
      <w:bookmarkEnd w:id="43"/>
      <w:bookmarkEnd w:id="44"/>
      <w:bookmarkEnd w:id="45"/>
      <w:bookmarkEnd w:id="46"/>
      <w:bookmarkEnd w:id="47"/>
      <w:bookmarkEnd w:id="48"/>
    </w:p>
    <w:p>
      <w:pPr>
        <w:numPr>
          <w:ilvl w:val="0"/>
          <w:numId w:val="31"/>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highlight w:val="none"/>
          <w:lang w:val="en-GB"/>
        </w:rPr>
        <w:t>投标人必须对整个项目内容物进行投标，不得进行拆分，否则投标无效</w:t>
      </w:r>
      <w:r>
        <w:rPr>
          <w:rFonts w:hint="eastAsia" w:ascii="宋体" w:hAnsi="宋体" w:eastAsia="宋体" w:cs="宋体"/>
          <w:color w:val="auto"/>
          <w:kern w:val="0"/>
          <w:sz w:val="24"/>
          <w:szCs w:val="24"/>
          <w:highlight w:val="none"/>
        </w:rPr>
        <w:t>。</w:t>
      </w:r>
    </w:p>
    <w:p>
      <w:pPr>
        <w:numPr>
          <w:ilvl w:val="0"/>
          <w:numId w:val="31"/>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投标文件应突出重点，精简扼要。所提供的资料必须符合诚实信用、客观真实的原则，对虚假、故意隐瞒或夸大事实之处，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须自行承担相应的后果及法律责任。</w:t>
      </w:r>
    </w:p>
    <w:p>
      <w:pPr>
        <w:numPr>
          <w:ilvl w:val="0"/>
          <w:numId w:val="31"/>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无论采购结果如何，</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自行承担因参加本次投标而发生的一切费用。采购人和采购代理机构对</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及其他当事人不承担任何形式的赔偿或补偿。</w:t>
      </w:r>
    </w:p>
    <w:p>
      <w:pPr>
        <w:pStyle w:val="33"/>
        <w:shd w:val="clear" w:color="auto" w:fill="auto"/>
        <w:rPr>
          <w:rFonts w:hint="eastAsia" w:ascii="宋体" w:hAnsi="宋体" w:eastAsia="宋体" w:cs="宋体"/>
          <w:color w:val="auto"/>
          <w:sz w:val="24"/>
          <w:szCs w:val="24"/>
          <w:highlight w:val="none"/>
          <w:lang w:val="en-GB"/>
        </w:rPr>
      </w:pPr>
    </w:p>
    <w:p>
      <w:pPr>
        <w:numPr>
          <w:ilvl w:val="0"/>
          <w:numId w:val="30"/>
        </w:numPr>
        <w:shd w:val="clear" w:color="auto" w:fill="auto"/>
        <w:tabs>
          <w:tab w:val="left" w:pos="540"/>
        </w:tabs>
        <w:spacing w:before="312" w:beforeLines="100" w:line="360" w:lineRule="auto"/>
        <w:rPr>
          <w:rFonts w:hint="eastAsia" w:ascii="宋体" w:hAnsi="宋体" w:eastAsia="宋体" w:cs="宋体"/>
          <w:b/>
          <w:color w:val="auto"/>
          <w:kern w:val="0"/>
          <w:sz w:val="24"/>
          <w:szCs w:val="24"/>
          <w:highlight w:val="none"/>
          <w:lang w:val="en-GB"/>
        </w:rPr>
      </w:pPr>
      <w:bookmarkStart w:id="49" w:name="_Toc276220261"/>
      <w:bookmarkStart w:id="50" w:name="_Toc528736184"/>
      <w:bookmarkStart w:id="51" w:name="_Toc136662918"/>
      <w:bookmarkStart w:id="52" w:name="_Toc275954889"/>
      <w:bookmarkStart w:id="53" w:name="_Toc136682894"/>
      <w:bookmarkStart w:id="54" w:name="_Toc332090772"/>
      <w:bookmarkStart w:id="55" w:name="_Toc119321129"/>
      <w:r>
        <w:rPr>
          <w:rFonts w:hint="eastAsia" w:ascii="宋体" w:hAnsi="宋体" w:eastAsia="宋体" w:cs="宋体"/>
          <w:b/>
          <w:color w:val="auto"/>
          <w:kern w:val="0"/>
          <w:sz w:val="24"/>
          <w:szCs w:val="24"/>
          <w:highlight w:val="none"/>
          <w:lang w:val="en-GB"/>
        </w:rPr>
        <w:t>投标文件的组成与制作要求</w:t>
      </w:r>
      <w:bookmarkEnd w:id="49"/>
      <w:bookmarkEnd w:id="50"/>
      <w:bookmarkEnd w:id="51"/>
      <w:bookmarkEnd w:id="52"/>
      <w:bookmarkEnd w:id="53"/>
      <w:bookmarkEnd w:id="54"/>
      <w:bookmarkEnd w:id="55"/>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b/>
          <w:bCs/>
          <w:color w:val="auto"/>
          <w:kern w:val="0"/>
          <w:sz w:val="24"/>
          <w:szCs w:val="24"/>
          <w:highlight w:val="none"/>
          <w:lang w:val="en-GB"/>
        </w:rPr>
        <w:t>投标的语言：</w:t>
      </w:r>
      <w:r>
        <w:rPr>
          <w:rFonts w:hint="eastAsia" w:ascii="宋体" w:hAnsi="宋体" w:eastAsia="宋体" w:cs="宋体"/>
          <w:b w:val="0"/>
          <w:bCs w:val="0"/>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提交的投标文件以及</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与采购人或采购代理机构就有关投标的所有来往函电均应使用中文。</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提交的支持文件或印刷的资料可以用另一种语言，但相应内容应附有中文翻译本，在解释投标文件及投标承诺时以中文翻译本为准。对中文翻译有异议的，以权威机构的译本为准。</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投标文件应按照本须知有关规定内容及</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中“投标文件格式”的要求以A4版面编制（图纸可以用A3版面编制，折叠成A4尺寸），并逐页编排不间断的连续页码。</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投标文件的签字和盖章要求，详见《投标人须知前附表》。</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的数量要求，详见《投标人须知前附表》，投标资料包括投标文件正副本、唱标信封（如有要求）及电子文档（如有要求）。每一份投标文件的封面应明确注明“正本”或“副本”字样。一旦正本和副本及其它资料内容有差异，均以正本为准。</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投标文件的装订和密封要求，详见《投标人须知前附表》。投标文件的装订，应牢固可靠且不会轻易脱落，因装订问题而发生文件散落或缺损所产生的一切后果由投标人承担。</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投标文件的制作、不同文字文本的释义均以简体中文文本为准，重要的外文资料须附有中文译注。</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投标文件中的技术或商务或服务参数差异说明所引用的顺序和编号应与</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的要求相一致。投标人在具体的投标内容中应逐条进行回应，可以增加说明或描述性文字。</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投标文件所使用的公章必须与投标人名称一致，不能以其它业务章或附属机构章代替。</w:t>
      </w:r>
      <w:r>
        <w:rPr>
          <w:rFonts w:hint="eastAsia" w:ascii="宋体" w:hAnsi="宋体" w:eastAsia="宋体" w:cs="宋体"/>
          <w:snapToGrid w:val="0"/>
          <w:color w:val="auto"/>
          <w:kern w:val="0"/>
          <w:sz w:val="24"/>
          <w:szCs w:val="24"/>
          <w:highlight w:val="none"/>
          <w:lang w:val="en-GB"/>
        </w:rPr>
        <w:t>需签名之处必须由当事人亲笔签署或签章。</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任何行间插字、涂改和增删，必须由投标人的法定代表人或</w:t>
      </w:r>
      <w:r>
        <w:rPr>
          <w:rFonts w:hint="eastAsia" w:ascii="宋体" w:hAnsi="宋体" w:cs="宋体"/>
          <w:color w:val="auto"/>
          <w:kern w:val="0"/>
          <w:sz w:val="24"/>
          <w:szCs w:val="24"/>
          <w:highlight w:val="none"/>
          <w:lang w:val="en-GB" w:eastAsia="zh-CN"/>
        </w:rPr>
        <w:t>委派</w:t>
      </w:r>
      <w:r>
        <w:rPr>
          <w:rFonts w:hint="eastAsia" w:ascii="宋体" w:hAnsi="宋体" w:eastAsia="宋体" w:cs="宋体"/>
          <w:color w:val="auto"/>
          <w:kern w:val="0"/>
          <w:sz w:val="24"/>
          <w:szCs w:val="24"/>
          <w:highlight w:val="none"/>
          <w:lang w:val="en-GB"/>
        </w:rPr>
        <w:t>授权代表在旁边签字或加盖投标人公章后方为有效。</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所有提供的证件、证明、合同等文件复印件内容均必须与原件内容保持一致，如出现涂改、删除、遮掩或剪切文件部分内容的，可判定为无效文件，按未提供相应文件处理。</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投标人必须对投标文件所提供的全部资料的真实性承担法律责任，并无条件接受采购人或采购代理机构等对其中任何资料进行核实的要求。</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当项目出现两个或以上分包采购时，各独立分包投标文件的制作均应符合本须知规定的要求，具体要求及规定详见《投标人须知前附表》。</w:t>
      </w:r>
    </w:p>
    <w:p>
      <w:pPr>
        <w:numPr>
          <w:ilvl w:val="0"/>
          <w:numId w:val="32"/>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如果因为投标人投标文件填报的内容不详，或没有提供</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中所要求的全部资料及数据，由此造成的后果，其责任</w:t>
      </w:r>
      <w:r>
        <w:rPr>
          <w:rFonts w:hint="eastAsia" w:ascii="宋体" w:hAnsi="宋体" w:eastAsia="宋体" w:cs="宋体"/>
          <w:color w:val="auto"/>
          <w:kern w:val="0"/>
          <w:sz w:val="24"/>
          <w:szCs w:val="24"/>
          <w:highlight w:val="none"/>
          <w:lang w:val="en-GB" w:eastAsia="zh-CN"/>
        </w:rPr>
        <w:t>由</w:t>
      </w:r>
      <w:r>
        <w:rPr>
          <w:rFonts w:hint="eastAsia" w:ascii="宋体" w:hAnsi="宋体" w:eastAsia="宋体" w:cs="宋体"/>
          <w:color w:val="auto"/>
          <w:kern w:val="0"/>
          <w:sz w:val="24"/>
          <w:szCs w:val="24"/>
          <w:highlight w:val="none"/>
          <w:lang w:val="en-GB"/>
        </w:rPr>
        <w:t>投标人承担。</w:t>
      </w:r>
    </w:p>
    <w:p>
      <w:pPr>
        <w:numPr>
          <w:ilvl w:val="0"/>
          <w:numId w:val="30"/>
        </w:numPr>
        <w:shd w:val="clear" w:color="auto" w:fill="auto"/>
        <w:tabs>
          <w:tab w:val="left" w:pos="540"/>
        </w:tabs>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投标报价</w:t>
      </w:r>
    </w:p>
    <w:p>
      <w:pPr>
        <w:numPr>
          <w:ilvl w:val="0"/>
          <w:numId w:val="3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投标报价是以</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可独立履行项目合同义务，通过合理预测与准确核算后，可达到预期设计功能和常规使用效果，满足约定的验收标准和符合自身合法利益的前提下所</w:t>
      </w:r>
      <w:r>
        <w:rPr>
          <w:rFonts w:hint="eastAsia" w:ascii="宋体" w:hAnsi="宋体" w:eastAsia="宋体" w:cs="宋体"/>
          <w:color w:val="auto"/>
          <w:kern w:val="0"/>
          <w:sz w:val="24"/>
          <w:szCs w:val="24"/>
          <w:highlight w:val="none"/>
          <w:lang w:val="en-GB" w:eastAsia="zh-CN"/>
        </w:rPr>
        <w:t>做出</w:t>
      </w:r>
      <w:r>
        <w:rPr>
          <w:rFonts w:hint="eastAsia" w:ascii="宋体" w:hAnsi="宋体" w:eastAsia="宋体" w:cs="宋体"/>
          <w:color w:val="auto"/>
          <w:kern w:val="0"/>
          <w:sz w:val="24"/>
          <w:szCs w:val="24"/>
          <w:highlight w:val="none"/>
          <w:lang w:val="en-GB"/>
        </w:rPr>
        <w:t>的综合性合理报价，对在投标文件和合同书中未有明确列述、</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 xml:space="preserve">案设计遗漏失误、市场剧变因素、应预见和不可预见的费用等均视为已完全考虑到并包括在投标报价之内。具体报价的方式和内容详见《第二部分 </w:t>
      </w:r>
      <w:r>
        <w:rPr>
          <w:rFonts w:hint="eastAsia" w:ascii="宋体" w:hAnsi="宋体" w:eastAsia="宋体" w:cs="宋体"/>
          <w:color w:val="auto"/>
          <w:kern w:val="0"/>
          <w:sz w:val="24"/>
          <w:szCs w:val="24"/>
          <w:highlight w:val="none"/>
          <w:lang w:val="en-GB" w:eastAsia="zh-CN"/>
        </w:rPr>
        <w:t>采购需求</w:t>
      </w:r>
      <w:r>
        <w:rPr>
          <w:rFonts w:hint="eastAsia" w:ascii="宋体" w:hAnsi="宋体" w:eastAsia="宋体" w:cs="宋体"/>
          <w:color w:val="auto"/>
          <w:kern w:val="0"/>
          <w:sz w:val="24"/>
          <w:szCs w:val="24"/>
          <w:highlight w:val="none"/>
          <w:lang w:val="en-GB"/>
        </w:rPr>
        <w:t>》。</w:t>
      </w:r>
    </w:p>
    <w:p>
      <w:pPr>
        <w:numPr>
          <w:ilvl w:val="0"/>
          <w:numId w:val="3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投标报价中不得包含</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要求以外的内容，否则，在评标时不予核减。投标报价中也不得缺漏</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所要求的内容，否则，可能被视为无效投标。</w:t>
      </w:r>
    </w:p>
    <w:p>
      <w:pPr>
        <w:numPr>
          <w:ilvl w:val="0"/>
          <w:numId w:val="3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若本</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w:t>
      </w:r>
      <w:r>
        <w:rPr>
          <w:rFonts w:hint="eastAsia" w:ascii="宋体" w:hAnsi="宋体" w:eastAsia="宋体" w:cs="宋体"/>
          <w:color w:val="auto"/>
          <w:kern w:val="0"/>
          <w:sz w:val="24"/>
          <w:szCs w:val="24"/>
          <w:highlight w:val="none"/>
          <w:lang w:val="en-GB" w:eastAsia="zh-CN"/>
        </w:rPr>
        <w:t>投标人须知前附表</w:t>
      </w:r>
      <w:r>
        <w:rPr>
          <w:rFonts w:hint="eastAsia" w:ascii="宋体" w:hAnsi="宋体" w:eastAsia="宋体" w:cs="宋体"/>
          <w:color w:val="auto"/>
          <w:kern w:val="0"/>
          <w:sz w:val="24"/>
          <w:szCs w:val="24"/>
          <w:highlight w:val="none"/>
          <w:lang w:val="en-GB"/>
        </w:rPr>
        <w:t>》中规定中标服务费（招标代理费）由</w:t>
      </w:r>
      <w:r>
        <w:rPr>
          <w:rFonts w:hint="eastAsia" w:ascii="宋体" w:hAnsi="宋体" w:eastAsia="宋体" w:cs="宋体"/>
          <w:color w:val="auto"/>
          <w:kern w:val="0"/>
          <w:sz w:val="24"/>
          <w:szCs w:val="24"/>
          <w:highlight w:val="none"/>
          <w:lang w:val="en-GB" w:eastAsia="zh-CN"/>
        </w:rPr>
        <w:t>中标人</w:t>
      </w:r>
      <w:r>
        <w:rPr>
          <w:rFonts w:hint="eastAsia" w:ascii="宋体" w:hAnsi="宋体" w:eastAsia="宋体" w:cs="宋体"/>
          <w:color w:val="auto"/>
          <w:kern w:val="0"/>
          <w:sz w:val="24"/>
          <w:szCs w:val="24"/>
          <w:highlight w:val="none"/>
          <w:lang w:val="en-GB"/>
        </w:rPr>
        <w:t>支付的，则投标报价应当包含招标代理费。</w:t>
      </w:r>
    </w:p>
    <w:p>
      <w:pPr>
        <w:numPr>
          <w:ilvl w:val="0"/>
          <w:numId w:val="3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对超出常规、具有特别意义的报价，或报价明显低于成本价或高于同业同期市场平均价时须作出重点说明，详述其理由和依据。</w:t>
      </w:r>
    </w:p>
    <w:p>
      <w:pPr>
        <w:numPr>
          <w:ilvl w:val="0"/>
          <w:numId w:val="3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在</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没有特别要求时，</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只允许提供唯一最具代表性和竞争力的投标报价方案，</w:t>
      </w:r>
      <w:r>
        <w:rPr>
          <w:rFonts w:hint="eastAsia" w:ascii="宋体" w:hAnsi="宋体" w:eastAsia="宋体" w:cs="宋体"/>
          <w:snapToGrid w:val="0"/>
          <w:color w:val="auto"/>
          <w:kern w:val="0"/>
          <w:sz w:val="24"/>
          <w:szCs w:val="24"/>
          <w:highlight w:val="none"/>
          <w:lang w:val="en-GB"/>
        </w:rPr>
        <w:t>对提供含糊不清、不确定或可选的投标报价方案者可作无效投标处理。当项目允许备选</w:t>
      </w:r>
      <w:r>
        <w:rPr>
          <w:rFonts w:hint="eastAsia" w:ascii="宋体" w:hAnsi="宋体" w:eastAsia="宋体" w:cs="宋体"/>
          <w:snapToGrid w:val="0"/>
          <w:color w:val="auto"/>
          <w:kern w:val="0"/>
          <w:sz w:val="24"/>
          <w:szCs w:val="24"/>
          <w:highlight w:val="none"/>
          <w:lang w:val="en-GB" w:eastAsia="zh-CN"/>
        </w:rPr>
        <w:t>投标人</w:t>
      </w:r>
      <w:r>
        <w:rPr>
          <w:rFonts w:hint="eastAsia" w:ascii="宋体" w:hAnsi="宋体" w:eastAsia="宋体" w:cs="宋体"/>
          <w:snapToGrid w:val="0"/>
          <w:color w:val="auto"/>
          <w:kern w:val="0"/>
          <w:sz w:val="24"/>
          <w:szCs w:val="24"/>
          <w:highlight w:val="none"/>
          <w:lang w:val="en-GB"/>
        </w:rPr>
        <w:t>案时，只有</w:t>
      </w:r>
      <w:r>
        <w:rPr>
          <w:rFonts w:hint="eastAsia" w:ascii="宋体" w:hAnsi="宋体" w:eastAsia="宋体" w:cs="宋体"/>
          <w:snapToGrid w:val="0"/>
          <w:color w:val="auto"/>
          <w:kern w:val="0"/>
          <w:sz w:val="24"/>
          <w:szCs w:val="24"/>
          <w:highlight w:val="none"/>
          <w:lang w:val="en-GB" w:eastAsia="zh-CN"/>
        </w:rPr>
        <w:t>中标人</w:t>
      </w:r>
      <w:r>
        <w:rPr>
          <w:rFonts w:hint="eastAsia" w:ascii="宋体" w:hAnsi="宋体" w:eastAsia="宋体" w:cs="宋体"/>
          <w:snapToGrid w:val="0"/>
          <w:color w:val="auto"/>
          <w:kern w:val="0"/>
          <w:sz w:val="24"/>
          <w:szCs w:val="24"/>
          <w:highlight w:val="none"/>
          <w:lang w:val="en-GB"/>
        </w:rPr>
        <w:t>所递交的备选</w:t>
      </w:r>
      <w:r>
        <w:rPr>
          <w:rFonts w:hint="eastAsia" w:ascii="宋体" w:hAnsi="宋体" w:eastAsia="宋体" w:cs="宋体"/>
          <w:snapToGrid w:val="0"/>
          <w:color w:val="auto"/>
          <w:kern w:val="0"/>
          <w:sz w:val="24"/>
          <w:szCs w:val="24"/>
          <w:highlight w:val="none"/>
          <w:lang w:val="en-GB" w:eastAsia="zh-CN"/>
        </w:rPr>
        <w:t>投标人</w:t>
      </w:r>
      <w:r>
        <w:rPr>
          <w:rFonts w:hint="eastAsia" w:ascii="宋体" w:hAnsi="宋体" w:cs="宋体"/>
          <w:snapToGrid w:val="0"/>
          <w:color w:val="auto"/>
          <w:kern w:val="0"/>
          <w:sz w:val="24"/>
          <w:szCs w:val="24"/>
          <w:highlight w:val="none"/>
          <w:lang w:val="en-GB" w:eastAsia="zh-CN"/>
        </w:rPr>
        <w:t>方案</w:t>
      </w:r>
      <w:r>
        <w:rPr>
          <w:rFonts w:hint="eastAsia" w:ascii="宋体" w:hAnsi="宋体" w:eastAsia="宋体" w:cs="宋体"/>
          <w:snapToGrid w:val="0"/>
          <w:color w:val="auto"/>
          <w:kern w:val="0"/>
          <w:sz w:val="24"/>
          <w:szCs w:val="24"/>
          <w:highlight w:val="none"/>
          <w:lang w:val="en-GB"/>
        </w:rPr>
        <w:t>予以考虑。评标委员会认为</w:t>
      </w:r>
      <w:r>
        <w:rPr>
          <w:rFonts w:hint="eastAsia" w:ascii="宋体" w:hAnsi="宋体" w:eastAsia="宋体" w:cs="宋体"/>
          <w:snapToGrid w:val="0"/>
          <w:color w:val="auto"/>
          <w:kern w:val="0"/>
          <w:sz w:val="24"/>
          <w:szCs w:val="24"/>
          <w:highlight w:val="none"/>
          <w:lang w:val="en-GB" w:eastAsia="zh-CN"/>
        </w:rPr>
        <w:t>中标人</w:t>
      </w:r>
      <w:r>
        <w:rPr>
          <w:rFonts w:hint="eastAsia" w:ascii="宋体" w:hAnsi="宋体" w:eastAsia="宋体" w:cs="宋体"/>
          <w:snapToGrid w:val="0"/>
          <w:color w:val="auto"/>
          <w:kern w:val="0"/>
          <w:sz w:val="24"/>
          <w:szCs w:val="24"/>
          <w:highlight w:val="none"/>
          <w:lang w:val="en-GB"/>
        </w:rPr>
        <w:t>的备选</w:t>
      </w:r>
      <w:r>
        <w:rPr>
          <w:rFonts w:hint="eastAsia" w:ascii="宋体" w:hAnsi="宋体" w:eastAsia="宋体" w:cs="宋体"/>
          <w:snapToGrid w:val="0"/>
          <w:color w:val="auto"/>
          <w:kern w:val="0"/>
          <w:sz w:val="24"/>
          <w:szCs w:val="24"/>
          <w:highlight w:val="none"/>
          <w:lang w:val="en-GB" w:eastAsia="zh-CN"/>
        </w:rPr>
        <w:t>投标人</w:t>
      </w:r>
      <w:r>
        <w:rPr>
          <w:rFonts w:hint="eastAsia" w:ascii="宋体" w:hAnsi="宋体" w:cs="宋体"/>
          <w:snapToGrid w:val="0"/>
          <w:color w:val="auto"/>
          <w:kern w:val="0"/>
          <w:sz w:val="24"/>
          <w:szCs w:val="24"/>
          <w:highlight w:val="none"/>
          <w:lang w:val="en-GB" w:eastAsia="zh-CN"/>
        </w:rPr>
        <w:t>方案</w:t>
      </w:r>
      <w:r>
        <w:rPr>
          <w:rFonts w:hint="eastAsia" w:ascii="宋体" w:hAnsi="宋体" w:eastAsia="宋体" w:cs="宋体"/>
          <w:snapToGrid w:val="0"/>
          <w:color w:val="auto"/>
          <w:kern w:val="0"/>
          <w:sz w:val="24"/>
          <w:szCs w:val="24"/>
          <w:highlight w:val="none"/>
          <w:lang w:val="en-GB"/>
        </w:rPr>
        <w:t>优于其按照</w:t>
      </w:r>
      <w:r>
        <w:rPr>
          <w:rFonts w:hint="eastAsia" w:ascii="宋体" w:hAnsi="宋体" w:eastAsia="宋体" w:cs="宋体"/>
          <w:snapToGrid w:val="0"/>
          <w:color w:val="auto"/>
          <w:kern w:val="0"/>
          <w:sz w:val="24"/>
          <w:szCs w:val="24"/>
          <w:highlight w:val="none"/>
          <w:lang w:val="en-GB" w:eastAsia="zh-CN"/>
        </w:rPr>
        <w:t>招标文件</w:t>
      </w:r>
      <w:r>
        <w:rPr>
          <w:rFonts w:hint="eastAsia" w:ascii="宋体" w:hAnsi="宋体" w:eastAsia="宋体" w:cs="宋体"/>
          <w:snapToGrid w:val="0"/>
          <w:color w:val="auto"/>
          <w:kern w:val="0"/>
          <w:sz w:val="24"/>
          <w:szCs w:val="24"/>
          <w:highlight w:val="none"/>
          <w:lang w:val="en-GB"/>
        </w:rPr>
        <w:t>要求编制的中标方案的，采购人可以接受该备选方案。</w:t>
      </w:r>
    </w:p>
    <w:p>
      <w:pPr>
        <w:numPr>
          <w:ilvl w:val="0"/>
          <w:numId w:val="3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在投标时间截止后至投标有效期满前任何报价为固定不变价，对投标报价提出折扣优惠者，以折扣后的最终优惠价为准。此报价将作为评审的重要依据之一，但并不是确定</w:t>
      </w:r>
      <w:r>
        <w:rPr>
          <w:rFonts w:hint="eastAsia" w:ascii="宋体" w:hAnsi="宋体" w:eastAsia="宋体" w:cs="宋体"/>
          <w:color w:val="auto"/>
          <w:kern w:val="0"/>
          <w:sz w:val="24"/>
          <w:szCs w:val="24"/>
          <w:highlight w:val="none"/>
          <w:lang w:val="en-GB" w:eastAsia="zh-CN"/>
        </w:rPr>
        <w:t>中标人</w:t>
      </w:r>
      <w:r>
        <w:rPr>
          <w:rFonts w:hint="eastAsia" w:ascii="宋体" w:hAnsi="宋体" w:eastAsia="宋体" w:cs="宋体"/>
          <w:color w:val="auto"/>
          <w:kern w:val="0"/>
          <w:sz w:val="24"/>
          <w:szCs w:val="24"/>
          <w:highlight w:val="none"/>
          <w:lang w:val="en-GB"/>
        </w:rPr>
        <w:t>的唯一依据。</w:t>
      </w:r>
    </w:p>
    <w:p>
      <w:pPr>
        <w:numPr>
          <w:ilvl w:val="0"/>
          <w:numId w:val="30"/>
        </w:numPr>
        <w:shd w:val="clear" w:color="auto" w:fill="auto"/>
        <w:tabs>
          <w:tab w:val="left" w:pos="540"/>
        </w:tabs>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投标报价修正准则</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bookmarkStart w:id="56" w:name="_Toc332090773"/>
      <w:r>
        <w:rPr>
          <w:rFonts w:hint="eastAsia" w:ascii="宋体" w:hAnsi="宋体" w:eastAsia="宋体" w:cs="宋体"/>
          <w:color w:val="auto"/>
          <w:kern w:val="0"/>
          <w:sz w:val="24"/>
          <w:highlight w:val="none"/>
          <w:lang w:val="en-GB"/>
        </w:rPr>
        <w:t>投标文件对应内容与开标唱读内容不一致，均以开标环节公开唱读内容为准。</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正本和副本之间内容有差异，以正本为准。纸质版与电子版不一致的，以纸质版内容为准。</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投标文件描述内容与原始材料引述内容不一致时，以原始材料内容为准。</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投标报价大写金额和小写金额不一致的，以大写金额为准。</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单价与对应的合计价不相符时，以单价为准，修正对应的该项合计价；</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总价金额与按单价汇总的合计价不一致的，以单价汇总合计价为准。单价金额小数点有明显错位的，应以总价为准，并修正单价。</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snapToGrid w:val="0"/>
          <w:color w:val="auto"/>
          <w:kern w:val="0"/>
          <w:sz w:val="24"/>
          <w:highlight w:val="none"/>
        </w:rPr>
        <w:t>对出现以上情况或因笔误而需修正任何报价时，均以评标委员会审定通过方为有效。</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如出现明显笔误或其他情况，由评标委员会裁定。</w:t>
      </w:r>
    </w:p>
    <w:p>
      <w:pPr>
        <w:numPr>
          <w:ilvl w:val="0"/>
          <w:numId w:val="3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评标委员会认定为表述不清晰或无法确定的报价均不予修正。</w:t>
      </w:r>
    </w:p>
    <w:p>
      <w:pPr>
        <w:numPr>
          <w:ilvl w:val="0"/>
          <w:numId w:val="30"/>
        </w:numPr>
        <w:shd w:val="clear" w:color="auto" w:fill="auto"/>
        <w:tabs>
          <w:tab w:val="left" w:pos="540"/>
        </w:tabs>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投标保证金</w:t>
      </w:r>
      <w:bookmarkEnd w:id="56"/>
    </w:p>
    <w:p>
      <w:pPr>
        <w:numPr>
          <w:ilvl w:val="0"/>
          <w:numId w:val="3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bookmarkStart w:id="57" w:name="_Toc136662921"/>
      <w:bookmarkStart w:id="58" w:name="_Toc119321132"/>
      <w:bookmarkStart w:id="59" w:name="_Toc136682897"/>
      <w:bookmarkStart w:id="60" w:name="_Toc528736187"/>
      <w:bookmarkStart w:id="61" w:name="_Toc275954892"/>
      <w:bookmarkStart w:id="62" w:name="_Toc276220264"/>
      <w:r>
        <w:rPr>
          <w:rFonts w:hint="eastAsia" w:ascii="宋体" w:hAnsi="宋体" w:eastAsia="宋体" w:cs="宋体"/>
          <w:color w:val="auto"/>
          <w:kern w:val="0"/>
          <w:sz w:val="24"/>
          <w:szCs w:val="24"/>
          <w:highlight w:val="none"/>
          <w:lang w:val="en-GB"/>
        </w:rPr>
        <w:t>是否需要交纳投标保证金见《</w:t>
      </w:r>
      <w:r>
        <w:rPr>
          <w:rFonts w:hint="eastAsia" w:ascii="宋体" w:hAnsi="宋体" w:eastAsia="宋体" w:cs="宋体"/>
          <w:color w:val="auto"/>
          <w:kern w:val="0"/>
          <w:sz w:val="24"/>
          <w:szCs w:val="24"/>
          <w:highlight w:val="none"/>
          <w:lang w:val="en-GB" w:eastAsia="zh-CN"/>
        </w:rPr>
        <w:t>投标人须知前附表</w:t>
      </w:r>
      <w:r>
        <w:rPr>
          <w:rFonts w:hint="eastAsia" w:ascii="宋体" w:hAnsi="宋体" w:eastAsia="宋体" w:cs="宋体"/>
          <w:color w:val="auto"/>
          <w:kern w:val="0"/>
          <w:sz w:val="24"/>
          <w:szCs w:val="24"/>
          <w:highlight w:val="none"/>
          <w:lang w:val="en-GB"/>
        </w:rPr>
        <w:t>》。若</w:t>
      </w:r>
      <w:r>
        <w:rPr>
          <w:rFonts w:hint="eastAsia" w:ascii="宋体" w:hAnsi="宋体" w:cs="宋体"/>
          <w:color w:val="auto"/>
          <w:kern w:val="0"/>
          <w:sz w:val="24"/>
          <w:szCs w:val="24"/>
          <w:highlight w:val="none"/>
          <w:lang w:val="en-GB" w:eastAsia="zh-CN"/>
        </w:rPr>
        <w:t>无须</w:t>
      </w:r>
      <w:r>
        <w:rPr>
          <w:rFonts w:hint="eastAsia" w:ascii="宋体" w:hAnsi="宋体" w:eastAsia="宋体" w:cs="宋体"/>
          <w:color w:val="auto"/>
          <w:kern w:val="0"/>
          <w:sz w:val="24"/>
          <w:szCs w:val="24"/>
          <w:highlight w:val="none"/>
          <w:lang w:val="en-GB"/>
        </w:rPr>
        <w:t>交纳，则</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中涉及投标保证金的事项及有关条款不适用；若需交纳，则</w:t>
      </w:r>
      <w:r>
        <w:rPr>
          <w:rFonts w:hint="eastAsia" w:ascii="宋体" w:hAnsi="宋体" w:eastAsia="宋体" w:cs="宋体"/>
          <w:snapToGrid w:val="0"/>
          <w:color w:val="auto"/>
          <w:kern w:val="0"/>
          <w:sz w:val="24"/>
          <w:szCs w:val="24"/>
          <w:highlight w:val="none"/>
        </w:rPr>
        <w:t>投标保证金作为投标文件的组成部分</w:t>
      </w:r>
      <w:r>
        <w:rPr>
          <w:rFonts w:hint="eastAsia" w:ascii="宋体" w:hAnsi="宋体" w:eastAsia="宋体" w:cs="宋体"/>
          <w:snapToGrid w:val="0"/>
          <w:color w:val="auto"/>
          <w:kern w:val="0"/>
          <w:sz w:val="24"/>
          <w:szCs w:val="24"/>
          <w:highlight w:val="none"/>
          <w:lang w:val="en-GB"/>
        </w:rPr>
        <w:t>，</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未按要求交纳投标保证金的视为无效投标，其投标文件将被拒绝接收。</w:t>
      </w:r>
    </w:p>
    <w:p>
      <w:pPr>
        <w:numPr>
          <w:ilvl w:val="0"/>
          <w:numId w:val="35"/>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投标保证金的退还（没有存在不予退还投标保证金并上报</w:t>
      </w:r>
      <w:r>
        <w:rPr>
          <w:rFonts w:hint="eastAsia" w:ascii="宋体" w:hAnsi="宋体" w:cs="宋体"/>
          <w:color w:val="auto"/>
          <w:kern w:val="0"/>
          <w:sz w:val="24"/>
          <w:szCs w:val="24"/>
          <w:highlight w:val="none"/>
          <w:lang w:val="en-GB" w:eastAsia="zh-CN"/>
        </w:rPr>
        <w:t>采购人主管</w:t>
      </w:r>
      <w:r>
        <w:rPr>
          <w:rFonts w:hint="eastAsia" w:ascii="宋体" w:hAnsi="宋体" w:eastAsia="宋体" w:cs="宋体"/>
          <w:color w:val="auto"/>
          <w:kern w:val="0"/>
          <w:sz w:val="24"/>
          <w:szCs w:val="24"/>
          <w:highlight w:val="none"/>
          <w:lang w:val="en-GB"/>
        </w:rPr>
        <w:t>部门处理的情况）：</w:t>
      </w:r>
    </w:p>
    <w:p>
      <w:pPr>
        <w:numPr>
          <w:ilvl w:val="1"/>
          <w:numId w:val="36"/>
        </w:numPr>
        <w:shd w:val="clear" w:color="auto" w:fill="auto"/>
        <w:tabs>
          <w:tab w:val="left" w:pos="709"/>
          <w:tab w:val="left" w:pos="993"/>
          <w:tab w:val="clear" w:pos="510"/>
        </w:tabs>
        <w:spacing w:line="360" w:lineRule="auto"/>
        <w:ind w:left="993" w:hanging="513"/>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在投标截止时间前撤回已提交的投标文件的，采购代理机构将在收到</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书面撤回通知之日起</w:t>
      </w: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GB"/>
        </w:rPr>
        <w:t>个工作日内，退还已收取的投标保证金，但因</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自身原因导致无法及时退还的除外。</w:t>
      </w:r>
    </w:p>
    <w:p>
      <w:pPr>
        <w:numPr>
          <w:ilvl w:val="1"/>
          <w:numId w:val="36"/>
        </w:numPr>
        <w:shd w:val="clear" w:color="auto" w:fill="auto"/>
        <w:tabs>
          <w:tab w:val="left" w:pos="720"/>
          <w:tab w:val="left" w:pos="993"/>
          <w:tab w:val="clear" w:pos="510"/>
        </w:tabs>
        <w:spacing w:line="360" w:lineRule="auto"/>
        <w:ind w:left="993" w:hanging="513"/>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中标人</w:t>
      </w:r>
      <w:r>
        <w:rPr>
          <w:rFonts w:hint="eastAsia" w:ascii="宋体" w:hAnsi="宋体" w:eastAsia="宋体" w:cs="宋体"/>
          <w:color w:val="auto"/>
          <w:kern w:val="0"/>
          <w:sz w:val="24"/>
          <w:szCs w:val="24"/>
          <w:highlight w:val="none"/>
          <w:lang w:val="en-GB"/>
        </w:rPr>
        <w:t>的投标保证金将在其与采购人</w:t>
      </w:r>
      <w:r>
        <w:rPr>
          <w:rFonts w:hint="eastAsia" w:ascii="宋体" w:hAnsi="宋体" w:eastAsia="宋体" w:cs="宋体"/>
          <w:color w:val="auto"/>
          <w:kern w:val="0"/>
          <w:sz w:val="24"/>
          <w:szCs w:val="24"/>
          <w:highlight w:val="none"/>
          <w:lang w:val="en-GB" w:eastAsia="zh-CN"/>
        </w:rPr>
        <w:t>签订合同</w:t>
      </w:r>
      <w:r>
        <w:rPr>
          <w:rFonts w:hint="eastAsia" w:ascii="宋体" w:hAnsi="宋体" w:eastAsia="宋体" w:cs="宋体"/>
          <w:color w:val="auto"/>
          <w:kern w:val="0"/>
          <w:sz w:val="24"/>
          <w:szCs w:val="24"/>
          <w:highlight w:val="none"/>
          <w:lang w:val="en-GB"/>
        </w:rPr>
        <w:t>并经见证之日起5个工作日内予以全额无息退还。</w:t>
      </w:r>
    </w:p>
    <w:p>
      <w:pPr>
        <w:numPr>
          <w:ilvl w:val="1"/>
          <w:numId w:val="36"/>
        </w:numPr>
        <w:shd w:val="clear" w:color="auto" w:fill="auto"/>
        <w:tabs>
          <w:tab w:val="left" w:pos="720"/>
          <w:tab w:val="left" w:pos="993"/>
          <w:tab w:val="clear" w:pos="510"/>
        </w:tabs>
        <w:spacing w:line="360" w:lineRule="auto"/>
        <w:ind w:left="993" w:hanging="513"/>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未中标的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的投标保证金在中标通知书发出之日起5个工作日内予以全额无息退还；如有质疑或投诉，将在质疑和投诉处理完毕后全额无息退还。</w:t>
      </w:r>
    </w:p>
    <w:p>
      <w:pPr>
        <w:numPr>
          <w:ilvl w:val="0"/>
          <w:numId w:val="35"/>
        </w:numPr>
        <w:shd w:val="clear" w:color="auto" w:fill="auto"/>
        <w:tabs>
          <w:tab w:val="left" w:pos="540"/>
        </w:tabs>
        <w:spacing w:line="360" w:lineRule="auto"/>
        <w:rPr>
          <w:rFonts w:hint="eastAsia" w:ascii="宋体" w:hAnsi="宋体" w:eastAsia="宋体" w:cs="宋体"/>
          <w:b/>
          <w:bCs/>
          <w:color w:val="auto"/>
          <w:kern w:val="0"/>
          <w:sz w:val="24"/>
          <w:szCs w:val="24"/>
          <w:highlight w:val="none"/>
          <w:lang w:val="en-GB"/>
        </w:rPr>
      </w:pPr>
      <w:r>
        <w:rPr>
          <w:rFonts w:hint="eastAsia" w:ascii="宋体" w:hAnsi="宋体" w:eastAsia="宋体" w:cs="宋体"/>
          <w:b/>
          <w:bCs/>
          <w:color w:val="auto"/>
          <w:kern w:val="0"/>
          <w:sz w:val="24"/>
          <w:szCs w:val="24"/>
          <w:highlight w:val="none"/>
          <w:lang w:val="en-GB"/>
        </w:rPr>
        <w:t>下列任何一种情况发生时，不予退还投标保证金：</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已递交投标文件，并在投标截止时间之后，投标有效期满之前，撤销或放弃其投标。</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投标文件中提供伪造、虚假的材料或信息。</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在评标期间，使用不正当手段试图影响、改变评标结果。</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恶意串通或捏造事实，对其竞争对手进行诋毁、排挤、攻击。</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投标人之间互相串通投标或与采购人串通投标。</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不按要求交纳中标服务费。</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不按期签订合同，违背投标承诺或拒绝、拖延、没有完全履行投标承诺和合同义务。</w:t>
      </w:r>
    </w:p>
    <w:p>
      <w:pPr>
        <w:numPr>
          <w:ilvl w:val="1"/>
          <w:numId w:val="37"/>
        </w:numPr>
        <w:shd w:val="clear" w:color="auto" w:fill="auto"/>
        <w:tabs>
          <w:tab w:val="left" w:pos="540"/>
          <w:tab w:val="left" w:pos="960"/>
        </w:tabs>
        <w:spacing w:line="360" w:lineRule="auto"/>
        <w:ind w:hanging="30"/>
        <w:rPr>
          <w:rFonts w:hint="eastAsia" w:ascii="宋体" w:hAnsi="宋体" w:cs="宋体"/>
          <w:color w:val="auto"/>
          <w:kern w:val="0"/>
          <w:szCs w:val="21"/>
          <w:highlight w:val="none"/>
          <w:lang w:val="en-GB"/>
        </w:rPr>
      </w:pPr>
      <w:r>
        <w:rPr>
          <w:rFonts w:hint="eastAsia" w:ascii="宋体" w:hAnsi="宋体" w:eastAsia="宋体" w:cs="宋体"/>
          <w:color w:val="auto"/>
          <w:kern w:val="0"/>
          <w:sz w:val="24"/>
          <w:highlight w:val="none"/>
          <w:lang w:val="en-GB"/>
        </w:rPr>
        <w:t>擅自将合同项目或主体关键性合同义务分包转让他人。</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cs="宋体"/>
          <w:color w:val="auto"/>
          <w:kern w:val="0"/>
          <w:sz w:val="24"/>
          <w:highlight w:val="none"/>
          <w:lang w:val="en-GB" w:eastAsia="zh-CN"/>
        </w:rPr>
        <w:t>获得</w:t>
      </w:r>
      <w:r>
        <w:rPr>
          <w:rFonts w:hint="eastAsia" w:ascii="宋体" w:hAnsi="宋体" w:eastAsia="宋体" w:cs="宋体"/>
          <w:color w:val="auto"/>
          <w:kern w:val="0"/>
          <w:sz w:val="24"/>
          <w:highlight w:val="none"/>
          <w:lang w:val="en-GB"/>
        </w:rPr>
        <w:t>中标通知后，无法如期按采购人要求履行承诺并提供合法有效的重要证明材料原件。</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违反诚实信用、公平竞争和如实告知原则，扰乱采购程序。</w:t>
      </w:r>
    </w:p>
    <w:p>
      <w:pPr>
        <w:numPr>
          <w:ilvl w:val="1"/>
          <w:numId w:val="37"/>
        </w:numPr>
        <w:shd w:val="clear" w:color="auto" w:fill="auto"/>
        <w:tabs>
          <w:tab w:val="left" w:pos="540"/>
          <w:tab w:val="left" w:pos="96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提供虚假、恶意质疑投诉材料或在一年内有三次以上查无实据的投诉记录。</w:t>
      </w:r>
    </w:p>
    <w:p>
      <w:pPr>
        <w:numPr>
          <w:ilvl w:val="0"/>
          <w:numId w:val="35"/>
        </w:numPr>
        <w:shd w:val="clear" w:color="auto" w:fill="auto"/>
        <w:tabs>
          <w:tab w:val="left" w:pos="540"/>
        </w:tabs>
        <w:spacing w:line="360" w:lineRule="auto"/>
        <w:rPr>
          <w:rFonts w:hint="eastAsia" w:ascii="宋体" w:hAnsi="宋体" w:eastAsia="宋体" w:cs="宋体"/>
          <w:color w:val="auto"/>
          <w:kern w:val="0"/>
          <w:sz w:val="24"/>
          <w:szCs w:val="24"/>
          <w:highlight w:val="none"/>
          <w:lang w:val="en-GB" w:eastAsia="zh-CN"/>
        </w:rPr>
      </w:pPr>
      <w:r>
        <w:rPr>
          <w:rFonts w:hint="eastAsia" w:ascii="宋体" w:hAnsi="宋体" w:eastAsia="宋体" w:cs="宋体"/>
          <w:b/>
          <w:bCs/>
          <w:color w:val="auto"/>
          <w:kern w:val="0"/>
          <w:sz w:val="24"/>
          <w:highlight w:val="none"/>
          <w:lang w:val="en-GB"/>
        </w:rPr>
        <w:t>凡没有按照本须知规定随附有效的投标保证金的投标，应按本须知有关规定视为非响应性投标，作为无效投标处理。</w:t>
      </w:r>
    </w:p>
    <w:p>
      <w:pPr>
        <w:numPr>
          <w:ilvl w:val="0"/>
          <w:numId w:val="30"/>
        </w:numPr>
        <w:shd w:val="clear" w:color="auto" w:fill="auto"/>
        <w:tabs>
          <w:tab w:val="left" w:pos="540"/>
        </w:tabs>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eastAsia="zh-CN"/>
        </w:rPr>
        <w:t>中标服务费（招标代理</w:t>
      </w:r>
      <w:r>
        <w:rPr>
          <w:rFonts w:hint="eastAsia" w:ascii="宋体" w:hAnsi="宋体" w:eastAsia="宋体" w:cs="宋体"/>
          <w:b/>
          <w:color w:val="auto"/>
          <w:kern w:val="0"/>
          <w:sz w:val="24"/>
          <w:szCs w:val="24"/>
          <w:highlight w:val="none"/>
          <w:lang w:val="en-GB"/>
        </w:rPr>
        <w:t>服务费</w:t>
      </w:r>
      <w:r>
        <w:rPr>
          <w:rFonts w:hint="eastAsia" w:ascii="宋体" w:hAnsi="宋体" w:eastAsia="宋体" w:cs="宋体"/>
          <w:b/>
          <w:color w:val="auto"/>
          <w:kern w:val="0"/>
          <w:sz w:val="24"/>
          <w:szCs w:val="24"/>
          <w:highlight w:val="none"/>
          <w:lang w:val="en-GB" w:eastAsia="zh-CN"/>
        </w:rPr>
        <w:t>）</w:t>
      </w:r>
    </w:p>
    <w:p>
      <w:pPr>
        <w:numPr>
          <w:ilvl w:val="0"/>
          <w:numId w:val="3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sz w:val="24"/>
          <w:szCs w:val="24"/>
          <w:highlight w:val="none"/>
        </w:rPr>
        <w:t>本次招标中，采购代理机构向《</w:t>
      </w:r>
      <w:r>
        <w:rPr>
          <w:rFonts w:hint="eastAsia" w:ascii="宋体" w:hAnsi="宋体" w:eastAsia="宋体" w:cs="宋体"/>
          <w:color w:val="auto"/>
          <w:sz w:val="24"/>
          <w:szCs w:val="24"/>
          <w:highlight w:val="none"/>
          <w:lang w:eastAsia="zh-CN"/>
        </w:rPr>
        <w:t>投标人须知前附表</w:t>
      </w:r>
      <w:r>
        <w:rPr>
          <w:rFonts w:hint="eastAsia" w:ascii="宋体" w:hAnsi="宋体" w:eastAsia="宋体" w:cs="宋体"/>
          <w:color w:val="auto"/>
          <w:sz w:val="24"/>
          <w:szCs w:val="24"/>
          <w:highlight w:val="none"/>
        </w:rPr>
        <w:t>》中约定的对象收取招标代理服务费（如未约定的，为</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）。招标代理服务费收费标准见《</w:t>
      </w:r>
      <w:r>
        <w:rPr>
          <w:rFonts w:hint="eastAsia" w:ascii="宋体" w:hAnsi="宋体" w:eastAsia="宋体" w:cs="宋体"/>
          <w:color w:val="auto"/>
          <w:sz w:val="24"/>
          <w:szCs w:val="24"/>
          <w:highlight w:val="none"/>
          <w:lang w:eastAsia="zh-CN"/>
        </w:rPr>
        <w:t>投标人须知前附表</w:t>
      </w:r>
      <w:r>
        <w:rPr>
          <w:rFonts w:hint="eastAsia" w:ascii="宋体" w:hAnsi="宋体" w:eastAsia="宋体" w:cs="宋体"/>
          <w:color w:val="auto"/>
          <w:sz w:val="24"/>
          <w:szCs w:val="24"/>
          <w:highlight w:val="none"/>
        </w:rPr>
        <w:t>》（如未约定的，</w:t>
      </w:r>
      <w:r>
        <w:rPr>
          <w:rFonts w:hint="eastAsia" w:ascii="宋体" w:hAnsi="宋体" w:eastAsia="宋体" w:cs="宋体"/>
          <w:color w:val="auto"/>
          <w:sz w:val="24"/>
          <w:szCs w:val="24"/>
          <w:highlight w:val="none"/>
          <w:lang w:eastAsia="zh-CN"/>
        </w:rPr>
        <w:t>适用</w:t>
      </w:r>
      <w:r>
        <w:rPr>
          <w:rFonts w:hint="eastAsia" w:ascii="宋体" w:hAnsi="宋体" w:eastAsia="宋体" w:cs="宋体"/>
          <w:color w:val="auto"/>
          <w:sz w:val="24"/>
          <w:szCs w:val="24"/>
          <w:highlight w:val="none"/>
        </w:rPr>
        <w:t>国家发改委《招标代理服务收费管理暂行办法》（计价格[2002]1980号）、国家发改委[2003]857号及发改价格[2011]534号文件中规定的计算方法和计费标准执行）。本项目招标代理服务费收费服务类型、计费基数、收费折扣（如未约定的，为100</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，即无折扣）及最低收费（如未约定的，</w:t>
      </w:r>
      <w:r>
        <w:rPr>
          <w:rFonts w:hint="eastAsia" w:ascii="宋体" w:hAnsi="宋体" w:eastAsia="宋体" w:cs="宋体"/>
          <w:color w:val="auto"/>
          <w:sz w:val="24"/>
          <w:szCs w:val="24"/>
          <w:highlight w:val="none"/>
          <w:lang w:eastAsia="zh-CN"/>
        </w:rPr>
        <w:t>招标代理服务费不足</w:t>
      </w:r>
      <w:r>
        <w:rPr>
          <w:rFonts w:hint="eastAsia" w:ascii="宋体" w:hAnsi="宋体" w:eastAsia="宋体" w:cs="宋体"/>
          <w:color w:val="auto"/>
          <w:sz w:val="24"/>
          <w:szCs w:val="24"/>
          <w:highlight w:val="none"/>
          <w:lang w:val="en-US" w:eastAsia="zh-CN"/>
        </w:rPr>
        <w:t>5000元的，按5</w:t>
      </w:r>
      <w:r>
        <w:rPr>
          <w:rFonts w:hint="eastAsia" w:ascii="宋体" w:hAnsi="宋体" w:eastAsia="宋体" w:cs="宋体"/>
          <w:color w:val="auto"/>
          <w:sz w:val="24"/>
          <w:szCs w:val="24"/>
          <w:highlight w:val="none"/>
        </w:rPr>
        <w:t>000元</w:t>
      </w:r>
      <w:r>
        <w:rPr>
          <w:rFonts w:hint="eastAsia" w:ascii="宋体" w:hAnsi="宋体" w:eastAsia="宋体" w:cs="宋体"/>
          <w:color w:val="auto"/>
          <w:sz w:val="24"/>
          <w:szCs w:val="24"/>
          <w:highlight w:val="none"/>
          <w:lang w:eastAsia="zh-CN"/>
        </w:rPr>
        <w:t>收取</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投标人须知前附表</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en-GB" w:eastAsia="zh-CN"/>
        </w:rPr>
        <w:t>。</w:t>
      </w:r>
      <w:r>
        <w:rPr>
          <w:rFonts w:hint="eastAsia" w:ascii="宋体" w:hAnsi="宋体" w:eastAsia="宋体" w:cs="宋体"/>
          <w:color w:val="auto"/>
          <w:sz w:val="24"/>
          <w:highlight w:val="none"/>
        </w:rPr>
        <w:t>专家评审费以实际支付为准</w:t>
      </w:r>
      <w:r>
        <w:rPr>
          <w:rFonts w:hint="eastAsia" w:ascii="宋体" w:hAnsi="宋体" w:cs="宋体"/>
          <w:color w:val="auto"/>
          <w:sz w:val="24"/>
          <w:highlight w:val="none"/>
          <w:lang w:eastAsia="zh-CN"/>
        </w:rPr>
        <w:t>。</w:t>
      </w:r>
    </w:p>
    <w:p>
      <w:pPr>
        <w:numPr>
          <w:ilvl w:val="0"/>
          <w:numId w:val="30"/>
        </w:numPr>
        <w:shd w:val="clear" w:color="auto" w:fill="auto"/>
        <w:tabs>
          <w:tab w:val="left" w:pos="540"/>
        </w:tabs>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投标文件的提交</w:t>
      </w:r>
    </w:p>
    <w:p>
      <w:pPr>
        <w:numPr>
          <w:ilvl w:val="0"/>
          <w:numId w:val="39"/>
        </w:numPr>
        <w:shd w:val="clear" w:color="auto" w:fill="auto"/>
        <w:tabs>
          <w:tab w:val="left" w:pos="540"/>
        </w:tabs>
        <w:spacing w:line="360" w:lineRule="auto"/>
        <w:rPr>
          <w:rFonts w:hint="eastAsia" w:ascii="宋体" w:hAnsi="宋体" w:eastAsia="宋体" w:cs="宋体"/>
          <w:b/>
          <w:bCs/>
          <w:color w:val="auto"/>
          <w:kern w:val="0"/>
          <w:sz w:val="24"/>
          <w:szCs w:val="24"/>
          <w:highlight w:val="none"/>
          <w:lang w:val="en-GB"/>
        </w:rPr>
      </w:pPr>
      <w:bookmarkStart w:id="63" w:name="_Toc332090774"/>
      <w:r>
        <w:rPr>
          <w:rFonts w:hint="eastAsia" w:ascii="宋体" w:hAnsi="宋体" w:eastAsia="宋体" w:cs="宋体"/>
          <w:b/>
          <w:bCs/>
          <w:snapToGrid w:val="0"/>
          <w:color w:val="auto"/>
          <w:kern w:val="0"/>
          <w:sz w:val="24"/>
          <w:szCs w:val="24"/>
          <w:highlight w:val="none"/>
          <w:lang w:val="en-GB"/>
        </w:rPr>
        <w:t>投标人应派全权代表准时提交投标文件和出席开标会。投标人出席开标会人员的身份证明要求详见《</w:t>
      </w:r>
      <w:r>
        <w:rPr>
          <w:rFonts w:hint="eastAsia" w:ascii="宋体" w:hAnsi="宋体" w:eastAsia="宋体" w:cs="宋体"/>
          <w:b/>
          <w:bCs/>
          <w:color w:val="auto"/>
          <w:kern w:val="0"/>
          <w:sz w:val="24"/>
          <w:szCs w:val="24"/>
          <w:highlight w:val="none"/>
          <w:lang w:val="en-GB"/>
        </w:rPr>
        <w:t>投标人须知前附表</w:t>
      </w:r>
      <w:r>
        <w:rPr>
          <w:rFonts w:hint="eastAsia" w:ascii="宋体" w:hAnsi="宋体" w:eastAsia="宋体" w:cs="宋体"/>
          <w:b/>
          <w:bCs/>
          <w:snapToGrid w:val="0"/>
          <w:color w:val="auto"/>
          <w:kern w:val="0"/>
          <w:sz w:val="24"/>
          <w:szCs w:val="24"/>
          <w:highlight w:val="none"/>
          <w:lang w:val="en-GB"/>
        </w:rPr>
        <w:t>》。在提交投标文件时采购代理机构</w:t>
      </w:r>
      <w:r>
        <w:rPr>
          <w:rFonts w:hint="eastAsia" w:ascii="宋体" w:hAnsi="宋体" w:eastAsia="宋体" w:cs="宋体"/>
          <w:b/>
          <w:bCs/>
          <w:color w:val="auto"/>
          <w:kern w:val="0"/>
          <w:sz w:val="24"/>
          <w:szCs w:val="24"/>
          <w:highlight w:val="none"/>
          <w:lang w:val="en-GB"/>
        </w:rPr>
        <w:t>将对上述身份证明文件进行当场核实，不能通过核实的，将拒绝接收其</w:t>
      </w:r>
      <w:r>
        <w:rPr>
          <w:rFonts w:hint="eastAsia" w:ascii="宋体" w:hAnsi="宋体" w:eastAsia="宋体" w:cs="宋体"/>
          <w:b/>
          <w:bCs/>
          <w:snapToGrid w:val="0"/>
          <w:color w:val="auto"/>
          <w:kern w:val="0"/>
          <w:sz w:val="24"/>
          <w:szCs w:val="24"/>
          <w:highlight w:val="none"/>
          <w:lang w:val="en-GB"/>
        </w:rPr>
        <w:t>投标文件。</w:t>
      </w:r>
    </w:p>
    <w:p>
      <w:pPr>
        <w:numPr>
          <w:ilvl w:val="0"/>
          <w:numId w:val="39"/>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投标人须按</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规定的时间地点提交投标文件，采购代理机构将拒收在提交投标文件截止时间后送达或者未送达指定地点的投标文件。投标人在提交投标文件截止时间前，可以对所提交的投标文件进行补充、修改或者撤回，并通知采购代理机构。补充、修改的内容应当符合</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的制作、封装、密封、签署、盖章等要求，并作为投标文件的组成部分。在提交投标文件截止时间之后，投标人不得主动对其投标文件做任何修改和补充。</w:t>
      </w:r>
    </w:p>
    <w:p>
      <w:pPr>
        <w:numPr>
          <w:ilvl w:val="0"/>
          <w:numId w:val="39"/>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如有要求，投标人在提交投标文件时须同时提交投标文件的电子文档。所有电子文档均不留密码，无病毒，不得进行压缩处理。</w:t>
      </w:r>
    </w:p>
    <w:p>
      <w:pPr>
        <w:numPr>
          <w:ilvl w:val="0"/>
          <w:numId w:val="39"/>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投标人所提交的投标文件在评标结束后，无论中标与否均不予退还。</w:t>
      </w:r>
    </w:p>
    <w:p>
      <w:pPr>
        <w:numPr>
          <w:ilvl w:val="0"/>
          <w:numId w:val="39"/>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根据本须知“</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的修改”规定，采购人有权通过修改</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而适当延长提交投标文件截止时间。在此情况下，采购人和投标人受提交投标文件截止时间制约的所有权利和义务均应延长至新的截止时间。</w:t>
      </w:r>
    </w:p>
    <w:p>
      <w:pPr>
        <w:numPr>
          <w:ilvl w:val="0"/>
          <w:numId w:val="39"/>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采购代理机构于提交投标文件截止时间前（具体见</w:t>
      </w:r>
      <w:r>
        <w:rPr>
          <w:rFonts w:hint="eastAsia" w:ascii="宋体" w:hAnsi="宋体" w:cs="宋体"/>
          <w:color w:val="auto"/>
          <w:kern w:val="0"/>
          <w:sz w:val="24"/>
          <w:szCs w:val="24"/>
          <w:highlight w:val="none"/>
          <w:lang w:val="en-GB" w:eastAsia="zh-CN"/>
        </w:rPr>
        <w:t>投标邀请书</w:t>
      </w:r>
      <w:r>
        <w:rPr>
          <w:rFonts w:hint="eastAsia" w:ascii="宋体" w:hAnsi="宋体" w:eastAsia="宋体" w:cs="宋体"/>
          <w:color w:val="auto"/>
          <w:kern w:val="0"/>
          <w:sz w:val="24"/>
          <w:szCs w:val="24"/>
          <w:highlight w:val="none"/>
          <w:lang w:val="en-GB"/>
        </w:rPr>
        <w:t>）开始接收投标文件。投标文件应是投标人代表以密封包装当面提交。</w:t>
      </w:r>
    </w:p>
    <w:p>
      <w:pPr>
        <w:numPr>
          <w:ilvl w:val="0"/>
          <w:numId w:val="39"/>
        </w:numPr>
        <w:shd w:val="clear" w:color="auto" w:fill="auto"/>
        <w:tabs>
          <w:tab w:val="left" w:pos="540"/>
        </w:tabs>
        <w:spacing w:line="360" w:lineRule="auto"/>
        <w:ind w:left="511" w:hanging="511" w:hangingChars="213"/>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采购代理机构拒绝接收投标文件的情形：</w:t>
      </w:r>
    </w:p>
    <w:p>
      <w:pPr>
        <w:numPr>
          <w:ilvl w:val="1"/>
          <w:numId w:val="40"/>
        </w:numPr>
        <w:shd w:val="clear" w:color="auto" w:fill="auto"/>
        <w:tabs>
          <w:tab w:val="left" w:pos="540"/>
          <w:tab w:val="left" w:pos="960"/>
        </w:tabs>
        <w:spacing w:line="360" w:lineRule="auto"/>
        <w:ind w:hanging="3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以邮寄、电报、电话传真形式或第三方转交方式提交的投标文件；</w:t>
      </w:r>
    </w:p>
    <w:p>
      <w:pPr>
        <w:numPr>
          <w:ilvl w:val="1"/>
          <w:numId w:val="40"/>
        </w:numPr>
        <w:shd w:val="clear" w:color="auto" w:fill="auto"/>
        <w:tabs>
          <w:tab w:val="left" w:pos="540"/>
          <w:tab w:val="left" w:pos="960"/>
        </w:tabs>
        <w:spacing w:line="360" w:lineRule="auto"/>
        <w:ind w:hanging="3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密封、数量、规格、册装不符合要求的投标文件；</w:t>
      </w:r>
    </w:p>
    <w:p>
      <w:pPr>
        <w:numPr>
          <w:ilvl w:val="1"/>
          <w:numId w:val="40"/>
        </w:numPr>
        <w:shd w:val="clear" w:color="auto" w:fill="auto"/>
        <w:tabs>
          <w:tab w:val="left" w:pos="540"/>
          <w:tab w:val="left" w:pos="960"/>
        </w:tabs>
        <w:spacing w:line="360" w:lineRule="auto"/>
        <w:ind w:hanging="30"/>
        <w:rPr>
          <w:rFonts w:hint="eastAsia" w:ascii="宋体" w:hAnsi="宋体" w:eastAsia="宋体" w:cs="宋体"/>
          <w:color w:val="auto"/>
          <w:highlight w:val="none"/>
          <w:lang w:val="en-GB"/>
        </w:rPr>
      </w:pPr>
      <w:r>
        <w:rPr>
          <w:rFonts w:hint="eastAsia" w:ascii="宋体" w:hAnsi="宋体" w:eastAsia="宋体" w:cs="宋体"/>
          <w:color w:val="auto"/>
          <w:kern w:val="0"/>
          <w:sz w:val="24"/>
          <w:szCs w:val="24"/>
          <w:highlight w:val="none"/>
          <w:lang w:val="en-GB"/>
        </w:rPr>
        <w:t>迟于提交投标文件截止时间提交的投标文件；</w:t>
      </w:r>
    </w:p>
    <w:p>
      <w:pPr>
        <w:numPr>
          <w:ilvl w:val="1"/>
          <w:numId w:val="40"/>
        </w:numPr>
        <w:shd w:val="clear" w:color="auto" w:fill="auto"/>
        <w:tabs>
          <w:tab w:val="left" w:pos="540"/>
          <w:tab w:val="left" w:pos="960"/>
        </w:tabs>
        <w:spacing w:line="360" w:lineRule="auto"/>
        <w:ind w:hanging="30"/>
        <w:rPr>
          <w:rFonts w:hint="eastAsia" w:ascii="宋体" w:hAnsi="宋体" w:eastAsia="宋体" w:cs="宋体"/>
          <w:color w:val="auto"/>
          <w:highlight w:val="none"/>
          <w:lang w:val="en-GB"/>
        </w:rPr>
      </w:pPr>
      <w:r>
        <w:rPr>
          <w:rFonts w:hint="eastAsia" w:ascii="宋体" w:hAnsi="宋体" w:eastAsia="宋体" w:cs="宋体"/>
          <w:color w:val="auto"/>
          <w:kern w:val="0"/>
          <w:sz w:val="24"/>
          <w:highlight w:val="none"/>
          <w:lang w:val="en-GB" w:eastAsia="zh-CN"/>
        </w:rPr>
        <w:t>招标文件</w:t>
      </w:r>
      <w:r>
        <w:rPr>
          <w:rFonts w:hint="eastAsia" w:ascii="宋体" w:hAnsi="宋体" w:eastAsia="宋体" w:cs="宋体"/>
          <w:color w:val="auto"/>
          <w:kern w:val="0"/>
          <w:sz w:val="24"/>
          <w:highlight w:val="none"/>
          <w:lang w:val="en-GB"/>
        </w:rPr>
        <w:t>规定的其他情形</w:t>
      </w:r>
    </w:p>
    <w:p>
      <w:pPr>
        <w:pStyle w:val="193"/>
        <w:shd w:val="clear" w:color="auto" w:fil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GB"/>
        </w:rPr>
        <w:t>采购文件规定的其他情形。</w:t>
      </w:r>
      <w:r>
        <w:rPr>
          <w:rFonts w:hint="eastAsia" w:ascii="宋体" w:hAnsi="宋体" w:eastAsia="宋体" w:cs="宋体"/>
          <w:color w:val="auto"/>
          <w:sz w:val="24"/>
          <w:szCs w:val="24"/>
          <w:highlight w:val="none"/>
        </w:rPr>
        <w:t>窗体底端</w:t>
      </w:r>
    </w:p>
    <w:p>
      <w:pPr>
        <w:numPr>
          <w:ilvl w:val="0"/>
          <w:numId w:val="30"/>
        </w:numPr>
        <w:shd w:val="clear" w:color="auto" w:fill="auto"/>
        <w:tabs>
          <w:tab w:val="left" w:pos="540"/>
        </w:tabs>
        <w:spacing w:before="312" w:beforeLines="100" w:line="360" w:lineRule="auto"/>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投标有效期</w:t>
      </w:r>
      <w:bookmarkEnd w:id="57"/>
      <w:bookmarkEnd w:id="58"/>
      <w:bookmarkEnd w:id="59"/>
      <w:bookmarkEnd w:id="60"/>
      <w:bookmarkEnd w:id="61"/>
      <w:bookmarkEnd w:id="62"/>
      <w:bookmarkEnd w:id="63"/>
    </w:p>
    <w:p>
      <w:pPr>
        <w:numPr>
          <w:ilvl w:val="0"/>
          <w:numId w:val="41"/>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投标有效期见《</w:t>
      </w:r>
      <w:r>
        <w:rPr>
          <w:rFonts w:hint="eastAsia" w:ascii="宋体" w:hAnsi="宋体" w:eastAsia="宋体" w:cs="宋体"/>
          <w:color w:val="auto"/>
          <w:kern w:val="0"/>
          <w:sz w:val="24"/>
          <w:szCs w:val="24"/>
          <w:highlight w:val="none"/>
          <w:lang w:val="en-GB" w:eastAsia="zh-CN"/>
        </w:rPr>
        <w:t>投标人须知前附表</w:t>
      </w:r>
      <w:r>
        <w:rPr>
          <w:rFonts w:hint="eastAsia" w:ascii="宋体" w:hAnsi="宋体" w:eastAsia="宋体" w:cs="宋体"/>
          <w:color w:val="auto"/>
          <w:kern w:val="0"/>
          <w:sz w:val="24"/>
          <w:szCs w:val="24"/>
          <w:highlight w:val="none"/>
          <w:lang w:val="en-GB"/>
        </w:rPr>
        <w:t>》。投标有效期不足的将被视为实质性不响应</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而被判定为无效投标。</w:t>
      </w:r>
    </w:p>
    <w:p>
      <w:pPr>
        <w:numPr>
          <w:ilvl w:val="0"/>
          <w:numId w:val="41"/>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的投标文件应在投标有效期内保持有效。</w:t>
      </w:r>
    </w:p>
    <w:p>
      <w:pPr>
        <w:numPr>
          <w:ilvl w:val="0"/>
          <w:numId w:val="41"/>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投标有效期内，投标文件的一切内容和补充承诺均为持续有效且不予改变。</w:t>
      </w:r>
    </w:p>
    <w:p>
      <w:pPr>
        <w:numPr>
          <w:ilvl w:val="0"/>
          <w:numId w:val="41"/>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特殊情况下，在原投标有效期截止之前，采购人可要求</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延长其投标有效期，</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可同意或拒绝上述要求。延长投标有效期的要求和答复均应为书面形式。同意延长投标有效期的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将不会被要求和允许修正其投标，而只会被要求相应的延长其投标保证金的有效期，在这种情况下，本须知有关投标保证金的退还和不予退还的规定将在延长了的有效期内继续有效。</w:t>
      </w:r>
      <w:r>
        <w:rPr>
          <w:rFonts w:hint="eastAsia" w:ascii="宋体" w:hAnsi="宋体" w:eastAsia="宋体" w:cs="宋体"/>
          <w:snapToGrid w:val="0"/>
          <w:color w:val="auto"/>
          <w:kern w:val="0"/>
          <w:sz w:val="24"/>
          <w:szCs w:val="24"/>
          <w:highlight w:val="none"/>
        </w:rPr>
        <w:t>不同意该要求的</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将视为自动放弃，其投标保证金将予以退还。</w:t>
      </w:r>
    </w:p>
    <w:p>
      <w:pPr>
        <w:shd w:val="clear" w:color="auto" w:fill="auto"/>
        <w:spacing w:line="360" w:lineRule="auto"/>
        <w:rPr>
          <w:rFonts w:hint="eastAsia" w:ascii="宋体" w:hAnsi="宋体" w:eastAsia="宋体" w:cs="宋体"/>
          <w:color w:val="auto"/>
          <w:kern w:val="0"/>
          <w:highlight w:val="none"/>
          <w:lang w:val="en-GB"/>
        </w:rPr>
      </w:pPr>
    </w:p>
    <w:p>
      <w:pPr>
        <w:pStyle w:val="3"/>
        <w:shd w:val="clear" w:color="auto" w:fill="auto"/>
        <w:spacing w:before="0" w:after="0" w:line="360" w:lineRule="auto"/>
        <w:jc w:val="center"/>
        <w:rPr>
          <w:rFonts w:hint="eastAsia" w:ascii="宋体" w:hAnsi="宋体" w:eastAsia="宋体" w:cs="宋体"/>
          <w:color w:val="auto"/>
          <w:kern w:val="0"/>
          <w:highlight w:val="none"/>
        </w:rPr>
      </w:pPr>
      <w:bookmarkStart w:id="64" w:name="_Toc11736"/>
      <w:bookmarkStart w:id="65" w:name="_Toc7036"/>
      <w:r>
        <w:rPr>
          <w:rFonts w:hint="eastAsia" w:ascii="宋体" w:hAnsi="宋体" w:eastAsia="宋体" w:cs="宋体"/>
          <w:color w:val="auto"/>
          <w:kern w:val="0"/>
          <w:highlight w:val="none"/>
        </w:rPr>
        <w:t>四、开标会及评审程序</w:t>
      </w:r>
      <w:bookmarkEnd w:id="64"/>
      <w:bookmarkEnd w:id="65"/>
    </w:p>
    <w:p>
      <w:pPr>
        <w:numPr>
          <w:ilvl w:val="0"/>
          <w:numId w:val="42"/>
        </w:numPr>
        <w:shd w:val="clear" w:color="auto" w:fill="auto"/>
        <w:tabs>
          <w:tab w:val="left" w:pos="540"/>
        </w:tabs>
        <w:spacing w:before="312" w:beforeLines="100" w:line="360" w:lineRule="auto"/>
        <w:ind w:left="0" w:firstLine="0"/>
        <w:rPr>
          <w:rFonts w:hint="eastAsia" w:ascii="宋体" w:hAnsi="宋体" w:eastAsia="宋体" w:cs="宋体"/>
          <w:b/>
          <w:color w:val="auto"/>
          <w:kern w:val="0"/>
          <w:sz w:val="24"/>
          <w:szCs w:val="24"/>
          <w:highlight w:val="none"/>
          <w:lang w:val="en-GB"/>
        </w:rPr>
      </w:pPr>
      <w:bookmarkStart w:id="66" w:name="_Toc136662923"/>
      <w:bookmarkStart w:id="67" w:name="_Toc332090776"/>
      <w:bookmarkStart w:id="68" w:name="_Toc528736189"/>
      <w:bookmarkStart w:id="69" w:name="_Toc119321134"/>
      <w:bookmarkStart w:id="70" w:name="_Toc275954894"/>
      <w:bookmarkStart w:id="71" w:name="_Toc276220266"/>
      <w:bookmarkStart w:id="72" w:name="_Toc136682899"/>
      <w:r>
        <w:rPr>
          <w:rFonts w:hint="eastAsia" w:ascii="宋体" w:hAnsi="宋体" w:eastAsia="宋体" w:cs="宋体"/>
          <w:b/>
          <w:color w:val="auto"/>
          <w:kern w:val="0"/>
          <w:sz w:val="24"/>
          <w:szCs w:val="24"/>
          <w:highlight w:val="none"/>
          <w:lang w:val="en-GB"/>
        </w:rPr>
        <w:t>开标会</w:t>
      </w:r>
      <w:bookmarkEnd w:id="66"/>
      <w:bookmarkEnd w:id="67"/>
      <w:bookmarkEnd w:id="68"/>
      <w:bookmarkEnd w:id="69"/>
      <w:bookmarkEnd w:id="70"/>
      <w:bookmarkEnd w:id="71"/>
      <w:bookmarkEnd w:id="72"/>
    </w:p>
    <w:p>
      <w:pPr>
        <w:numPr>
          <w:ilvl w:val="0"/>
          <w:numId w:val="4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bookmarkStart w:id="73" w:name="_Toc136662924"/>
      <w:bookmarkStart w:id="74" w:name="_Toc119321135"/>
      <w:bookmarkStart w:id="75" w:name="_Toc332090777"/>
      <w:bookmarkStart w:id="76" w:name="_Toc276220267"/>
      <w:bookmarkStart w:id="77" w:name="_Toc275954895"/>
      <w:bookmarkStart w:id="78" w:name="_Toc528736190"/>
      <w:bookmarkStart w:id="79" w:name="_Toc136682900"/>
      <w:r>
        <w:rPr>
          <w:rFonts w:hint="eastAsia" w:ascii="宋体" w:hAnsi="宋体" w:eastAsia="宋体" w:cs="宋体"/>
          <w:color w:val="auto"/>
          <w:kern w:val="0"/>
          <w:sz w:val="24"/>
          <w:szCs w:val="24"/>
          <w:highlight w:val="none"/>
          <w:lang w:val="en-GB"/>
        </w:rPr>
        <w:t>采购代理机构按</w:t>
      </w:r>
      <w:r>
        <w:rPr>
          <w:rFonts w:hint="eastAsia" w:ascii="宋体" w:hAnsi="宋体" w:cs="宋体"/>
          <w:color w:val="auto"/>
          <w:kern w:val="0"/>
          <w:sz w:val="24"/>
          <w:szCs w:val="24"/>
          <w:highlight w:val="none"/>
          <w:lang w:val="en-GB" w:eastAsia="zh-CN"/>
        </w:rPr>
        <w:t>投标邀请书</w:t>
      </w:r>
      <w:r>
        <w:rPr>
          <w:rFonts w:hint="eastAsia" w:ascii="宋体" w:hAnsi="宋体" w:eastAsia="宋体" w:cs="宋体"/>
          <w:color w:val="auto"/>
          <w:kern w:val="0"/>
          <w:sz w:val="24"/>
          <w:szCs w:val="24"/>
          <w:highlight w:val="none"/>
          <w:lang w:val="en-GB"/>
        </w:rPr>
        <w:t>规定的时间和地点组织开标，投标人须派员出席开标会全过程。对于缺席开标会，或出席人员未携带有效身份证明文件出席开标会的，该投标人将被视为自动放弃投标资格或作无效投标处理。</w:t>
      </w:r>
    </w:p>
    <w:p>
      <w:pPr>
        <w:numPr>
          <w:ilvl w:val="0"/>
          <w:numId w:val="4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宣布提交投标文件时间截止后，采购代理机构将不再接收任何投标文件。</w:t>
      </w:r>
    </w:p>
    <w:p>
      <w:pPr>
        <w:numPr>
          <w:ilvl w:val="0"/>
          <w:numId w:val="4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开标前将由签到顺序的前三名投标人代表作为全体投标人推选的代表，对全部投标文件的密封情况进行当众检查，在确认全部文件均密封完好后再开启唱标信封进行开标。任何密封性文件的包装，均以不会损害各投标当事人的合法权益为合格标准。对于构成直接、明显的侵权行为和事实时，侵权者将作无效投标处理。对于已开启拆封的投标文件一概不予退回。</w:t>
      </w:r>
    </w:p>
    <w:p>
      <w:pPr>
        <w:numPr>
          <w:ilvl w:val="0"/>
          <w:numId w:val="4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当提交投标文件截止时间到达时，如投标人少于</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GB"/>
        </w:rPr>
        <w:t>家的，投标文件将不予启封并现场退还。</w:t>
      </w:r>
      <w:r>
        <w:rPr>
          <w:rFonts w:hint="eastAsia" w:ascii="宋体" w:hAnsi="宋体" w:eastAsia="宋体" w:cs="宋体"/>
          <w:snapToGrid w:val="0"/>
          <w:color w:val="auto"/>
          <w:kern w:val="0"/>
          <w:sz w:val="24"/>
          <w:szCs w:val="24"/>
          <w:highlight w:val="none"/>
          <w:lang w:val="en-GB"/>
        </w:rPr>
        <w:t>如提交投标文件达到</w:t>
      </w:r>
      <w:r>
        <w:rPr>
          <w:rFonts w:hint="eastAsia" w:ascii="宋体"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GB"/>
        </w:rPr>
        <w:t>家或以上的，开标时均予以当众拆封、宣读。</w:t>
      </w:r>
    </w:p>
    <w:p>
      <w:pPr>
        <w:numPr>
          <w:ilvl w:val="0"/>
          <w:numId w:val="43"/>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采购代理机构将记录唱标内容，并当场公示。如开标记录上内容与投标文件不一致时，投标人代表须当场提出。开标记录由唱标人、投标人代表和有关人员共同签字确认。</w:t>
      </w:r>
    </w:p>
    <w:p>
      <w:pPr>
        <w:numPr>
          <w:ilvl w:val="0"/>
          <w:numId w:val="43"/>
        </w:numPr>
        <w:shd w:val="clear" w:color="auto" w:fill="auto"/>
        <w:tabs>
          <w:tab w:val="left" w:pos="567"/>
        </w:tabs>
        <w:spacing w:line="360" w:lineRule="auto"/>
        <w:rPr>
          <w:rFonts w:hint="eastAsia" w:ascii="宋体" w:hAnsi="宋体" w:eastAsia="宋体" w:cs="宋体"/>
          <w:snapToGrid w:val="0"/>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rPr>
        <w:t>投标人全权代表现场所签署确认的文件均代表投标人的真实意愿和决定，并作为投标文件的补充内容具有</w:t>
      </w:r>
      <w:r>
        <w:rPr>
          <w:rFonts w:hint="eastAsia" w:ascii="宋体" w:hAnsi="宋体" w:eastAsia="宋体" w:cs="宋体"/>
          <w:snapToGrid w:val="0"/>
          <w:color w:val="auto"/>
          <w:kern w:val="0"/>
          <w:sz w:val="24"/>
          <w:szCs w:val="24"/>
          <w:highlight w:val="none"/>
          <w:lang w:val="en-GB" w:eastAsia="zh-CN"/>
        </w:rPr>
        <w:t>不可撤销</w:t>
      </w:r>
      <w:r>
        <w:rPr>
          <w:rFonts w:hint="eastAsia" w:ascii="宋体" w:hAnsi="宋体" w:eastAsia="宋体" w:cs="宋体"/>
          <w:snapToGrid w:val="0"/>
          <w:color w:val="auto"/>
          <w:kern w:val="0"/>
          <w:sz w:val="24"/>
          <w:szCs w:val="24"/>
          <w:highlight w:val="none"/>
          <w:lang w:val="en-GB"/>
        </w:rPr>
        <w:t>更改的法律效力。</w:t>
      </w:r>
    </w:p>
    <w:p>
      <w:pPr>
        <w:numPr>
          <w:ilvl w:val="0"/>
          <w:numId w:val="42"/>
        </w:numPr>
        <w:shd w:val="clear" w:color="auto" w:fill="auto"/>
        <w:tabs>
          <w:tab w:val="left" w:pos="540"/>
        </w:tabs>
        <w:spacing w:before="312" w:beforeLines="100" w:line="360" w:lineRule="auto"/>
        <w:ind w:left="0" w:firstLine="0"/>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评标委员会的组成及工作要求</w:t>
      </w:r>
      <w:bookmarkEnd w:id="73"/>
      <w:bookmarkEnd w:id="74"/>
      <w:bookmarkEnd w:id="75"/>
      <w:bookmarkEnd w:id="76"/>
      <w:bookmarkEnd w:id="77"/>
      <w:bookmarkEnd w:id="78"/>
      <w:bookmarkEnd w:id="79"/>
    </w:p>
    <w:p>
      <w:pPr>
        <w:numPr>
          <w:ilvl w:val="0"/>
          <w:numId w:val="44"/>
        </w:numPr>
        <w:shd w:val="clear" w:color="auto" w:fill="auto"/>
        <w:tabs>
          <w:tab w:val="left" w:pos="540"/>
        </w:tabs>
        <w:spacing w:line="360" w:lineRule="auto"/>
        <w:rPr>
          <w:rFonts w:hint="eastAsia" w:ascii="宋体" w:hAnsi="宋体" w:eastAsia="宋体" w:cs="宋体"/>
          <w:color w:val="auto"/>
          <w:kern w:val="0"/>
          <w:sz w:val="24"/>
          <w:highlight w:val="none"/>
          <w:lang w:val="en-GB"/>
        </w:rPr>
      </w:pPr>
      <w:r>
        <w:rPr>
          <w:rFonts w:hint="eastAsia" w:ascii="宋体" w:hAnsi="宋体" w:eastAsia="宋体" w:cs="宋体"/>
          <w:snapToGrid w:val="0"/>
          <w:color w:val="auto"/>
          <w:kern w:val="0"/>
          <w:sz w:val="24"/>
          <w:highlight w:val="none"/>
          <w:lang w:val="en-GB"/>
        </w:rPr>
        <w:t>采购代理机构</w:t>
      </w:r>
      <w:r>
        <w:rPr>
          <w:rFonts w:hint="eastAsia" w:ascii="宋体" w:hAnsi="宋体" w:eastAsia="宋体" w:cs="宋体"/>
          <w:color w:val="auto"/>
          <w:kern w:val="0"/>
          <w:sz w:val="24"/>
          <w:highlight w:val="none"/>
          <w:lang w:val="en-GB"/>
        </w:rPr>
        <w:t>根据项目的性质特点和专业技术要求依法组建评标委员会，评标委员会的组成见《投标人须知前附表》，其中专家成员</w:t>
      </w:r>
      <w:r>
        <w:rPr>
          <w:rFonts w:hint="eastAsia" w:ascii="宋体" w:hAnsi="宋体" w:eastAsia="宋体" w:cs="宋体"/>
          <w:snapToGrid w:val="0"/>
          <w:color w:val="auto"/>
          <w:kern w:val="0"/>
          <w:sz w:val="24"/>
          <w:highlight w:val="none"/>
          <w:lang w:val="en-GB"/>
        </w:rPr>
        <w:t>在评审前一个工作日内从</w:t>
      </w:r>
      <w:r>
        <w:rPr>
          <w:rFonts w:hint="eastAsia" w:ascii="宋体" w:hAnsi="宋体" w:eastAsia="宋体" w:cs="宋体"/>
          <w:color w:val="auto"/>
          <w:kern w:val="0"/>
          <w:sz w:val="24"/>
          <w:highlight w:val="none"/>
          <w:lang w:val="en-GB"/>
        </w:rPr>
        <w:t>专家库中抽取产生，专家产生的方式见《投标人须知前附表》。</w:t>
      </w:r>
      <w:r>
        <w:rPr>
          <w:rFonts w:hint="eastAsia" w:ascii="宋体" w:hAnsi="宋体" w:eastAsia="宋体" w:cs="宋体"/>
          <w:snapToGrid w:val="0"/>
          <w:color w:val="auto"/>
          <w:kern w:val="0"/>
          <w:sz w:val="24"/>
          <w:highlight w:val="none"/>
          <w:lang w:val="en-GB"/>
        </w:rPr>
        <w:t>若</w:t>
      </w:r>
      <w:r>
        <w:rPr>
          <w:rFonts w:hint="eastAsia" w:ascii="宋体" w:hAnsi="宋体" w:eastAsia="宋体" w:cs="宋体"/>
          <w:snapToGrid w:val="0"/>
          <w:color w:val="auto"/>
          <w:kern w:val="0"/>
          <w:sz w:val="24"/>
          <w:highlight w:val="none"/>
        </w:rPr>
        <w:t>在开标会结束后仍未能</w:t>
      </w:r>
      <w:r>
        <w:rPr>
          <w:rFonts w:hint="eastAsia" w:ascii="宋体" w:hAnsi="宋体" w:eastAsia="宋体" w:cs="宋体"/>
          <w:snapToGrid w:val="0"/>
          <w:color w:val="auto"/>
          <w:kern w:val="0"/>
          <w:sz w:val="24"/>
          <w:highlight w:val="none"/>
          <w:lang w:val="en-GB"/>
        </w:rPr>
        <w:t>组建评标委员会，采购代理机构将及时封存所有投标文件，并于评标委员会组建完成进入评审程序后予以解封。</w:t>
      </w:r>
    </w:p>
    <w:p>
      <w:pPr>
        <w:numPr>
          <w:ilvl w:val="0"/>
          <w:numId w:val="44"/>
        </w:numPr>
        <w:shd w:val="clear" w:color="auto" w:fill="auto"/>
        <w:tabs>
          <w:tab w:val="left" w:pos="540"/>
        </w:tabs>
        <w:spacing w:line="360" w:lineRule="auto"/>
        <w:rPr>
          <w:rFonts w:hint="eastAsia" w:ascii="宋体" w:hAnsi="宋体" w:eastAsia="宋体" w:cs="宋体"/>
          <w:snapToGrid w:val="0"/>
          <w:color w:val="auto"/>
          <w:kern w:val="0"/>
          <w:sz w:val="24"/>
          <w:highlight w:val="none"/>
          <w:lang w:val="en-GB"/>
        </w:rPr>
      </w:pPr>
      <w:r>
        <w:rPr>
          <w:rFonts w:hint="eastAsia" w:ascii="宋体" w:hAnsi="宋体" w:eastAsia="宋体" w:cs="宋体"/>
          <w:snapToGrid w:val="0"/>
          <w:color w:val="auto"/>
          <w:kern w:val="0"/>
          <w:sz w:val="24"/>
          <w:highlight w:val="none"/>
          <w:lang w:val="en-GB"/>
        </w:rPr>
        <w:t>在本次采购活动中，采购人员及相关人员与投标人有下列利害关系之一的，应当回避：</w:t>
      </w:r>
    </w:p>
    <w:p>
      <w:pPr>
        <w:numPr>
          <w:ilvl w:val="0"/>
          <w:numId w:val="45"/>
        </w:numPr>
        <w:shd w:val="clear" w:color="auto" w:fill="auto"/>
        <w:tabs>
          <w:tab w:val="left" w:pos="54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参加采购活动前3年内与投标人存在劳动关系；</w:t>
      </w:r>
    </w:p>
    <w:p>
      <w:pPr>
        <w:numPr>
          <w:ilvl w:val="0"/>
          <w:numId w:val="45"/>
        </w:numPr>
        <w:shd w:val="clear" w:color="auto" w:fill="auto"/>
        <w:tabs>
          <w:tab w:val="left" w:pos="54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参加采购活动前3年内担任投标人的董事、监事；</w:t>
      </w:r>
    </w:p>
    <w:p>
      <w:pPr>
        <w:numPr>
          <w:ilvl w:val="0"/>
          <w:numId w:val="45"/>
        </w:numPr>
        <w:shd w:val="clear" w:color="auto" w:fill="auto"/>
        <w:tabs>
          <w:tab w:val="left" w:pos="54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参加采购活动前3年内是投标人的控股股东或者实际控制人；</w:t>
      </w:r>
    </w:p>
    <w:p>
      <w:pPr>
        <w:numPr>
          <w:ilvl w:val="0"/>
          <w:numId w:val="45"/>
        </w:numPr>
        <w:shd w:val="clear" w:color="auto" w:fill="auto"/>
        <w:tabs>
          <w:tab w:val="left" w:pos="54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与投标人的法定代表人或者负责人有夫妻、直系血亲、三代以内旁系血亲或者近姻亲关系；</w:t>
      </w:r>
    </w:p>
    <w:p>
      <w:pPr>
        <w:numPr>
          <w:ilvl w:val="0"/>
          <w:numId w:val="45"/>
        </w:numPr>
        <w:shd w:val="clear" w:color="auto" w:fill="auto"/>
        <w:tabs>
          <w:tab w:val="left" w:pos="540"/>
        </w:tabs>
        <w:spacing w:line="360" w:lineRule="auto"/>
        <w:ind w:hanging="3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与投标人有其他可能影响本次采购活动公平、公正进行的关系。</w:t>
      </w:r>
    </w:p>
    <w:p>
      <w:pPr>
        <w:shd w:val="clear" w:color="auto" w:fill="auto"/>
        <w:tabs>
          <w:tab w:val="left" w:pos="540"/>
        </w:tabs>
        <w:spacing w:line="360" w:lineRule="auto"/>
        <w:ind w:left="496" w:leftChars="236" w:firstLine="480" w:firstLineChars="200"/>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numPr>
          <w:ilvl w:val="0"/>
          <w:numId w:val="44"/>
        </w:numPr>
        <w:shd w:val="clear" w:color="auto" w:fill="auto"/>
        <w:tabs>
          <w:tab w:val="left" w:pos="540"/>
        </w:tabs>
        <w:spacing w:line="360" w:lineRule="auto"/>
        <w:rPr>
          <w:rFonts w:hint="eastAsia" w:ascii="宋体" w:hAnsi="宋体" w:eastAsia="宋体" w:cs="宋体"/>
          <w:color w:val="auto"/>
          <w:kern w:val="0"/>
          <w:sz w:val="24"/>
          <w:szCs w:val="24"/>
          <w:highlight w:val="none"/>
          <w:lang w:val="en-GB" w:eastAsia="zh-CN"/>
        </w:rPr>
      </w:pPr>
      <w:r>
        <w:rPr>
          <w:rFonts w:hint="eastAsia" w:ascii="宋体" w:hAnsi="宋体" w:eastAsia="宋体" w:cs="宋体"/>
          <w:color w:val="auto"/>
          <w:kern w:val="0"/>
          <w:sz w:val="24"/>
          <w:highlight w:val="none"/>
          <w:lang w:val="en-GB"/>
        </w:rPr>
        <w:t>评标委员会将本着公平、公正、科学、择优的原则，严格按照法律法规和</w:t>
      </w:r>
      <w:r>
        <w:rPr>
          <w:rFonts w:hint="eastAsia" w:ascii="宋体" w:hAnsi="宋体" w:eastAsia="宋体" w:cs="宋体"/>
          <w:color w:val="auto"/>
          <w:kern w:val="0"/>
          <w:sz w:val="24"/>
          <w:highlight w:val="none"/>
          <w:lang w:val="en-GB" w:eastAsia="zh-CN"/>
        </w:rPr>
        <w:t>招标文件</w:t>
      </w:r>
      <w:r>
        <w:rPr>
          <w:rFonts w:hint="eastAsia" w:ascii="宋体" w:hAnsi="宋体" w:eastAsia="宋体" w:cs="宋体"/>
          <w:color w:val="auto"/>
          <w:kern w:val="0"/>
          <w:sz w:val="24"/>
          <w:highlight w:val="none"/>
          <w:lang w:val="en-GB"/>
        </w:rPr>
        <w:t>的要求进行评标。</w:t>
      </w:r>
    </w:p>
    <w:p>
      <w:pPr>
        <w:numPr>
          <w:ilvl w:val="0"/>
          <w:numId w:val="44"/>
        </w:numPr>
        <w:shd w:val="clear" w:color="auto" w:fill="auto"/>
        <w:tabs>
          <w:tab w:val="left" w:pos="540"/>
        </w:tabs>
        <w:spacing w:line="360" w:lineRule="auto"/>
        <w:rPr>
          <w:rFonts w:hint="eastAsia" w:ascii="宋体" w:hAnsi="宋体" w:eastAsia="宋体" w:cs="宋体"/>
          <w:color w:val="auto"/>
          <w:kern w:val="0"/>
          <w:sz w:val="24"/>
          <w:szCs w:val="24"/>
          <w:highlight w:val="none"/>
          <w:lang w:val="en-GB" w:eastAsia="zh-CN"/>
        </w:rPr>
      </w:pPr>
      <w:r>
        <w:rPr>
          <w:rFonts w:hint="eastAsia" w:ascii="宋体" w:hAnsi="宋体" w:eastAsia="宋体" w:cs="宋体"/>
          <w:color w:val="auto"/>
          <w:kern w:val="0"/>
          <w:sz w:val="24"/>
          <w:szCs w:val="24"/>
          <w:highlight w:val="none"/>
          <w:lang w:val="en-GB" w:eastAsia="zh-CN"/>
        </w:rPr>
        <w:t>的要求进行评标。</w:t>
      </w:r>
    </w:p>
    <w:p>
      <w:pPr>
        <w:numPr>
          <w:ilvl w:val="0"/>
          <w:numId w:val="42"/>
        </w:numPr>
        <w:shd w:val="clear" w:color="auto" w:fill="auto"/>
        <w:tabs>
          <w:tab w:val="left" w:pos="540"/>
        </w:tabs>
        <w:spacing w:before="312" w:beforeLines="100" w:line="360" w:lineRule="auto"/>
        <w:ind w:left="0" w:firstLine="0"/>
        <w:rPr>
          <w:rFonts w:hint="eastAsia" w:ascii="宋体" w:hAnsi="宋体" w:eastAsia="宋体" w:cs="宋体"/>
          <w:b/>
          <w:color w:val="auto"/>
          <w:kern w:val="0"/>
          <w:sz w:val="24"/>
          <w:szCs w:val="24"/>
          <w:highlight w:val="none"/>
          <w:lang w:val="en-GB"/>
        </w:rPr>
      </w:pPr>
      <w:bookmarkStart w:id="80" w:name="_Toc119321136"/>
      <w:bookmarkStart w:id="81" w:name="_Toc136662925"/>
      <w:bookmarkStart w:id="82" w:name="_Toc332090778"/>
      <w:bookmarkStart w:id="83" w:name="_Toc275954896"/>
      <w:bookmarkStart w:id="84" w:name="_Toc276220268"/>
      <w:bookmarkStart w:id="85" w:name="_Toc136682901"/>
      <w:bookmarkStart w:id="86" w:name="_Toc528736191"/>
      <w:r>
        <w:rPr>
          <w:rFonts w:hint="eastAsia" w:ascii="宋体" w:hAnsi="宋体" w:eastAsia="宋体" w:cs="宋体"/>
          <w:b/>
          <w:color w:val="auto"/>
          <w:kern w:val="0"/>
          <w:sz w:val="24"/>
          <w:szCs w:val="24"/>
          <w:highlight w:val="none"/>
          <w:lang w:val="en-GB"/>
        </w:rPr>
        <w:t>评审相关事项</w:t>
      </w:r>
      <w:bookmarkEnd w:id="80"/>
      <w:bookmarkEnd w:id="81"/>
      <w:bookmarkEnd w:id="82"/>
      <w:bookmarkEnd w:id="83"/>
      <w:bookmarkEnd w:id="84"/>
      <w:bookmarkEnd w:id="85"/>
      <w:bookmarkEnd w:id="86"/>
    </w:p>
    <w:p>
      <w:pPr>
        <w:numPr>
          <w:ilvl w:val="0"/>
          <w:numId w:val="4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bookmarkStart w:id="87" w:name="_Toc332090779"/>
      <w:bookmarkStart w:id="88" w:name="_Toc332090780"/>
      <w:bookmarkStart w:id="89" w:name="_Toc26261448"/>
      <w:bookmarkStart w:id="90" w:name="_Toc25726401"/>
      <w:r>
        <w:rPr>
          <w:rFonts w:hint="eastAsia" w:ascii="宋体" w:hAnsi="宋体" w:eastAsia="宋体" w:cs="宋体"/>
          <w:color w:val="auto"/>
          <w:kern w:val="0"/>
          <w:sz w:val="24"/>
          <w:szCs w:val="24"/>
          <w:highlight w:val="none"/>
          <w:lang w:val="en-GB"/>
        </w:rPr>
        <w:t>评标委员会按照本文《第四部分 评审办法及标准》规定的方法、评审因素、标准和程序对投标文件进行评审。《第四部分 评审办法及标准》没有规定的方法、评审因素和标准，不作为评审依据。</w:t>
      </w:r>
    </w:p>
    <w:p>
      <w:pPr>
        <w:numPr>
          <w:ilvl w:val="0"/>
          <w:numId w:val="4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评审期间，采购人、采购代理机构、评标委员会不得对</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中一些涉及竞争的公平、公正性重要内容（包括带“★”项）进行现场临时修改调整，也不得单独与投标人进行联系接触。</w:t>
      </w:r>
    </w:p>
    <w:p>
      <w:pPr>
        <w:numPr>
          <w:ilvl w:val="0"/>
          <w:numId w:val="4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除非</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中有明确规定，评标委员会判断投标文件的有效性和响应情况，仅依靠投标人所提交的投标文件资料，而不凭借其它未经核实的外部证据（</w:t>
      </w:r>
      <w:r>
        <w:rPr>
          <w:rFonts w:hint="eastAsia" w:ascii="宋体" w:hAnsi="宋体" w:eastAsia="宋体" w:cs="宋体"/>
          <w:snapToGrid w:val="0"/>
          <w:color w:val="auto"/>
          <w:kern w:val="0"/>
          <w:sz w:val="24"/>
          <w:szCs w:val="24"/>
          <w:highlight w:val="none"/>
          <w:lang w:val="en-GB"/>
        </w:rPr>
        <w:t>但对行业主管部门或其他管理部门的官方网站或专栏网站的信息则不受限制</w:t>
      </w:r>
      <w:r>
        <w:rPr>
          <w:rFonts w:hint="eastAsia" w:ascii="宋体" w:hAnsi="宋体" w:eastAsia="宋体" w:cs="宋体"/>
          <w:color w:val="auto"/>
          <w:kern w:val="0"/>
          <w:sz w:val="24"/>
          <w:szCs w:val="24"/>
          <w:highlight w:val="none"/>
          <w:lang w:val="en-GB"/>
        </w:rPr>
        <w:t>），</w:t>
      </w:r>
      <w:r>
        <w:rPr>
          <w:rFonts w:hint="eastAsia" w:ascii="宋体" w:hAnsi="宋体" w:eastAsia="宋体" w:cs="宋体"/>
          <w:snapToGrid w:val="0"/>
          <w:color w:val="auto"/>
          <w:kern w:val="0"/>
          <w:sz w:val="24"/>
          <w:szCs w:val="24"/>
          <w:highlight w:val="none"/>
          <w:lang w:val="en-GB"/>
        </w:rPr>
        <w:t>不受与本项目无直接关联的外部信息影响自身的专业判断。</w:t>
      </w:r>
    </w:p>
    <w:p>
      <w:pPr>
        <w:numPr>
          <w:ilvl w:val="0"/>
          <w:numId w:val="4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rPr>
        <w:t>投标人提供的文件必须真实、充分、全面。评标委员会仅对投标人提交的文件进行表面真实性的审核，在评审过程中乃至中标后，如发现投标人所提供的上述材料不合法或不真实，将取消其中标资格并追究其法律责任。</w:t>
      </w:r>
    </w:p>
    <w:p>
      <w:pPr>
        <w:numPr>
          <w:ilvl w:val="0"/>
          <w:numId w:val="4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若</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要求提交业绩证明文件、客户验收报告、企业资质证书、人员资格证书、社会保险证明、产品检测报告等资料复印件，评标委员会认为有必要时，可要求投标人在规定的时间内提交原件审核验证。投标人必须在规定的时间内向评标委员会提交原件，否则，将有可能视为提交的文件资料不符合要求。</w:t>
      </w:r>
    </w:p>
    <w:p>
      <w:pPr>
        <w:numPr>
          <w:ilvl w:val="0"/>
          <w:numId w:val="4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如对</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投标文件及相关补充文件的理解存有歧义时，评标委员会可对这些文件或向有关方面进行查证了解质询，并通过集体讨论或表决达成一致处理意见。任何形式的决定，须以合法公正和有利于项目的安全顺利实施为前提。</w:t>
      </w:r>
    </w:p>
    <w:p>
      <w:pPr>
        <w:numPr>
          <w:ilvl w:val="0"/>
          <w:numId w:val="46"/>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评标委员会只就投标文件中所载明的情况进行评审，严格按照</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规定的方法和标准进行评审，独立对每个有效投标人的投标文件进行评价。</w:t>
      </w:r>
    </w:p>
    <w:bookmarkEnd w:id="87"/>
    <w:p>
      <w:pPr>
        <w:numPr>
          <w:ilvl w:val="0"/>
          <w:numId w:val="42"/>
        </w:numPr>
        <w:shd w:val="clear" w:color="auto" w:fill="auto"/>
        <w:tabs>
          <w:tab w:val="left" w:pos="540"/>
        </w:tabs>
        <w:spacing w:before="312" w:beforeLines="100" w:line="360" w:lineRule="auto"/>
        <w:ind w:left="0" w:firstLine="0"/>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无效投标行为的认定</w:t>
      </w:r>
      <w:bookmarkEnd w:id="88"/>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bookmarkStart w:id="91" w:name="_Toc136662926"/>
      <w:bookmarkStart w:id="92" w:name="_Toc275954897"/>
      <w:bookmarkStart w:id="93" w:name="_Toc276220269"/>
      <w:bookmarkStart w:id="94" w:name="_Toc528736192"/>
      <w:bookmarkStart w:id="95" w:name="_Toc136682902"/>
      <w:bookmarkStart w:id="96" w:name="_Toc119321137"/>
      <w:r>
        <w:rPr>
          <w:rFonts w:hint="eastAsia" w:ascii="宋体" w:hAnsi="宋体" w:eastAsia="宋体" w:cs="宋体"/>
          <w:color w:val="auto"/>
          <w:kern w:val="0"/>
          <w:sz w:val="24"/>
          <w:szCs w:val="24"/>
          <w:highlight w:val="none"/>
          <w:lang w:val="en-GB"/>
        </w:rPr>
        <w:t>不具备</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中规定的投标人资格要求；</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投标报价不符合</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要求，</w:t>
      </w:r>
      <w:r>
        <w:rPr>
          <w:rFonts w:hint="eastAsia" w:ascii="宋体" w:hAnsi="宋体" w:eastAsia="宋体" w:cs="宋体"/>
          <w:snapToGrid w:val="0"/>
          <w:color w:val="auto"/>
          <w:kern w:val="0"/>
          <w:sz w:val="24"/>
          <w:szCs w:val="24"/>
          <w:highlight w:val="none"/>
          <w:lang w:val="en-GB"/>
        </w:rPr>
        <w:t>投标总金额超过本项目采购金额控制范围</w:t>
      </w:r>
      <w:r>
        <w:rPr>
          <w:rFonts w:hint="eastAsia" w:ascii="宋体" w:hAnsi="宋体" w:eastAsia="宋体" w:cs="宋体"/>
          <w:color w:val="auto"/>
          <w:kern w:val="0"/>
          <w:sz w:val="24"/>
          <w:szCs w:val="24"/>
          <w:highlight w:val="none"/>
          <w:lang w:val="en-GB"/>
        </w:rPr>
        <w:t>；</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投标主体不明确；不符合</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中合格投标人的相关规定；货物或服务不符合法定和约定的合格性标准要求；</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rPr>
        <w:t>未按要求提交投标保证金；</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rPr>
        <w:t>全权代表未能出示本人第二代居民身份证原件；全权代表缺席开标会；</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以假借、挂靠他人名义等形式参与投标，在独立投标人之间构成非法互惠利益和同盟关系；</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rPr>
        <w:t>投标人相互串通投标，出现以下情形之一的：不同投标人的投标文件由同一单位或者个人编制；不同投标人委托同一单位或者个人办理投标事宜；不同投标人的投标文件载明的项目管理成员为同一人；不同投标人的投标文件异常一致或者投标报价呈规律性差异；不同投标人的投标文件相互混装；不同投标人的投标保证金从同一单位或者个人的账户转出；</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单位负责人为同一人或者存在控股、管理关系的不同单位同时参与投标并提交投标文件；</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同一家投标人提交两套或以上投标文件；</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未能有效通过初审检查，对约定必备的合格条件和重要关键内容（即标注“★”号的条款）出现实质性偏离；</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投标有效期不响应</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要求；</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投标文件编制和装订严重不符合</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要求；</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明示盖公章处未加盖公章；</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明示需签字或签章处未有法定代表人或授权代表签字或签章；</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拒绝、对抗评标委员会所作的决定或合理要求；</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投标人方</w:t>
      </w:r>
      <w:r>
        <w:rPr>
          <w:rFonts w:hint="eastAsia" w:ascii="宋体" w:hAnsi="宋体" w:eastAsia="宋体" w:cs="宋体"/>
          <w:color w:val="auto"/>
          <w:kern w:val="0"/>
          <w:sz w:val="24"/>
          <w:szCs w:val="24"/>
          <w:highlight w:val="none"/>
          <w:lang w:val="en-GB"/>
        </w:rPr>
        <w:t>案、投标报价表述不清晰或无法确定；</w:t>
      </w:r>
    </w:p>
    <w:p>
      <w:pPr>
        <w:numPr>
          <w:ilvl w:val="0"/>
          <w:numId w:val="47"/>
        </w:numPr>
        <w:shd w:val="clear" w:color="auto" w:fill="auto"/>
        <w:tabs>
          <w:tab w:val="left" w:pos="540"/>
        </w:tabs>
        <w:spacing w:line="360" w:lineRule="auto"/>
        <w:rPr>
          <w:rFonts w:hint="eastAsia" w:ascii="宋体" w:hAnsi="宋体" w:cs="宋体"/>
          <w:color w:val="auto"/>
          <w:highlight w:val="none"/>
        </w:rPr>
      </w:pPr>
      <w:r>
        <w:rPr>
          <w:rFonts w:hint="eastAsia" w:ascii="宋体" w:hAnsi="宋体" w:eastAsia="宋体" w:cs="宋体"/>
          <w:snapToGrid w:val="0"/>
          <w:color w:val="auto"/>
          <w:kern w:val="0"/>
          <w:sz w:val="24"/>
          <w:szCs w:val="24"/>
          <w:highlight w:val="none"/>
          <w:lang w:val="en-GB"/>
        </w:rPr>
        <w:t>为采购项目提供整体设计、规范编制或者项目管理、监理、检测等服务的</w:t>
      </w:r>
      <w:r>
        <w:rPr>
          <w:rFonts w:hint="eastAsia" w:ascii="宋体" w:hAnsi="宋体" w:cs="宋体"/>
          <w:snapToGrid w:val="0"/>
          <w:color w:val="auto"/>
          <w:kern w:val="0"/>
          <w:sz w:val="24"/>
          <w:szCs w:val="24"/>
          <w:highlight w:val="none"/>
          <w:lang w:val="en-GB" w:eastAsia="zh-CN"/>
        </w:rPr>
        <w:t>投标人</w:t>
      </w:r>
      <w:r>
        <w:rPr>
          <w:rFonts w:hint="eastAsia" w:ascii="宋体" w:hAnsi="宋体" w:eastAsia="宋体" w:cs="宋体"/>
          <w:snapToGrid w:val="0"/>
          <w:color w:val="auto"/>
          <w:kern w:val="0"/>
          <w:sz w:val="24"/>
          <w:szCs w:val="24"/>
          <w:highlight w:val="none"/>
          <w:lang w:val="en-GB"/>
        </w:rPr>
        <w:t>，不得再参加该采购项目的其他采购活动；</w:t>
      </w:r>
    </w:p>
    <w:p>
      <w:pPr>
        <w:numPr>
          <w:ilvl w:val="0"/>
          <w:numId w:val="47"/>
        </w:numPr>
        <w:shd w:val="clear" w:color="auto" w:fill="auto"/>
        <w:tabs>
          <w:tab w:val="left" w:pos="540"/>
        </w:tabs>
        <w:spacing w:line="360" w:lineRule="auto"/>
        <w:rPr>
          <w:rFonts w:hint="eastAsia" w:ascii="宋体" w:hAnsi="宋体" w:cs="宋体"/>
          <w:color w:val="auto"/>
          <w:sz w:val="24"/>
          <w:szCs w:val="32"/>
          <w:highlight w:val="none"/>
        </w:rPr>
      </w:pPr>
      <w:r>
        <w:rPr>
          <w:rFonts w:hint="eastAsia" w:ascii="宋体" w:hAnsi="宋体" w:cs="宋体"/>
          <w:color w:val="auto"/>
          <w:sz w:val="24"/>
          <w:szCs w:val="32"/>
          <w:highlight w:val="none"/>
        </w:rPr>
        <w:t xml:space="preserve">提供虚假材料谋取中标的； </w:t>
      </w:r>
    </w:p>
    <w:p>
      <w:pPr>
        <w:numPr>
          <w:ilvl w:val="0"/>
          <w:numId w:val="47"/>
        </w:numPr>
        <w:shd w:val="clear" w:color="auto" w:fill="auto"/>
        <w:overflowPunct w:val="0"/>
        <w:autoSpaceDE w:val="0"/>
        <w:autoSpaceDN w:val="0"/>
        <w:adjustRightInd w:val="0"/>
        <w:spacing w:line="360" w:lineRule="auto"/>
        <w:jc w:val="left"/>
        <w:rPr>
          <w:rFonts w:hint="eastAsia" w:ascii="宋体" w:hAnsi="宋体" w:eastAsia="宋体" w:cs="宋体"/>
          <w:snapToGrid w:val="0"/>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rPr>
        <w:t>不符合法律、法规规定的其他实质性要求；</w:t>
      </w:r>
    </w:p>
    <w:p>
      <w:pPr>
        <w:numPr>
          <w:ilvl w:val="0"/>
          <w:numId w:val="47"/>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符合</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中载明会导致无效投标的其它规定和要求。</w:t>
      </w:r>
    </w:p>
    <w:p>
      <w:pPr>
        <w:numPr>
          <w:ilvl w:val="0"/>
          <w:numId w:val="42"/>
        </w:numPr>
        <w:shd w:val="clear" w:color="auto" w:fill="auto"/>
        <w:tabs>
          <w:tab w:val="left" w:pos="540"/>
        </w:tabs>
        <w:spacing w:before="312" w:beforeLines="100" w:line="360" w:lineRule="auto"/>
        <w:ind w:left="0" w:firstLine="0"/>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废标条件与处理</w:t>
      </w:r>
    </w:p>
    <w:p>
      <w:pPr>
        <w:shd w:val="clear" w:color="auto" w:fill="auto"/>
        <w:tabs>
          <w:tab w:val="left" w:pos="540"/>
        </w:tabs>
        <w:spacing w:line="360" w:lineRule="auto"/>
        <w:ind w:left="51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本项目出现下列条件之一则对应定作废标：</w:t>
      </w:r>
    </w:p>
    <w:p>
      <w:pPr>
        <w:numPr>
          <w:ilvl w:val="0"/>
          <w:numId w:val="4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提交投标文件的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、符合资格条件的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或对</w:t>
      </w: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实质性条款</w:t>
      </w:r>
      <w:r>
        <w:rPr>
          <w:rFonts w:hint="eastAsia" w:ascii="宋体" w:hAnsi="宋体" w:eastAsia="宋体" w:cs="宋体"/>
          <w:color w:val="auto"/>
          <w:kern w:val="0"/>
          <w:sz w:val="24"/>
          <w:szCs w:val="24"/>
          <w:highlight w:val="none"/>
          <w:lang w:val="en-GB" w:eastAsia="zh-CN"/>
        </w:rPr>
        <w:t>作出</w:t>
      </w:r>
      <w:r>
        <w:rPr>
          <w:rFonts w:hint="eastAsia" w:ascii="宋体" w:hAnsi="宋体" w:eastAsia="宋体" w:cs="宋体"/>
          <w:color w:val="auto"/>
          <w:kern w:val="0"/>
          <w:sz w:val="24"/>
          <w:szCs w:val="24"/>
          <w:highlight w:val="none"/>
          <w:lang w:val="en-GB"/>
        </w:rPr>
        <w:t>响应的</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不足3家的。</w:t>
      </w:r>
    </w:p>
    <w:p>
      <w:pPr>
        <w:numPr>
          <w:ilvl w:val="0"/>
          <w:numId w:val="4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的报价均超过了采购预算控制范围且采购人不能接受。</w:t>
      </w:r>
    </w:p>
    <w:p>
      <w:pPr>
        <w:numPr>
          <w:ilvl w:val="0"/>
          <w:numId w:val="48"/>
        </w:numPr>
        <w:shd w:val="clear" w:color="auto" w:fill="auto"/>
        <w:tabs>
          <w:tab w:val="left" w:pos="540"/>
        </w:tabs>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招标文件</w:t>
      </w:r>
      <w:r>
        <w:rPr>
          <w:rFonts w:hint="eastAsia" w:ascii="宋体" w:hAnsi="宋体" w:eastAsia="宋体" w:cs="宋体"/>
          <w:snapToGrid w:val="0"/>
          <w:color w:val="auto"/>
          <w:kern w:val="0"/>
          <w:sz w:val="24"/>
          <w:szCs w:val="24"/>
          <w:highlight w:val="none"/>
        </w:rPr>
        <w:t>存在重大缺漏导致无法继续评审，或继续评审可能影响公平竞争。</w:t>
      </w:r>
    </w:p>
    <w:p>
      <w:pPr>
        <w:numPr>
          <w:ilvl w:val="0"/>
          <w:numId w:val="4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采购过程出现影响公平公正竞争的违法、违规行为。</w:t>
      </w:r>
    </w:p>
    <w:p>
      <w:pPr>
        <w:numPr>
          <w:ilvl w:val="0"/>
          <w:numId w:val="48"/>
        </w:numPr>
        <w:shd w:val="clear" w:color="auto" w:fill="auto"/>
        <w:tabs>
          <w:tab w:val="left" w:pos="540"/>
        </w:tabs>
        <w:spacing w:line="360" w:lineRule="auto"/>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因重大变故，接财政部门通知采购活动须立即</w:t>
      </w:r>
      <w:r>
        <w:rPr>
          <w:rFonts w:hint="eastAsia" w:ascii="宋体" w:hAnsi="宋体" w:eastAsia="宋体" w:cs="宋体"/>
          <w:color w:val="auto"/>
          <w:kern w:val="0"/>
          <w:sz w:val="24"/>
          <w:szCs w:val="24"/>
          <w:highlight w:val="none"/>
          <w:lang w:val="en-GB" w:eastAsia="zh-CN"/>
        </w:rPr>
        <w:t>终止</w:t>
      </w:r>
      <w:r>
        <w:rPr>
          <w:rFonts w:hint="eastAsia" w:ascii="宋体" w:hAnsi="宋体" w:eastAsia="宋体" w:cs="宋体"/>
          <w:color w:val="auto"/>
          <w:kern w:val="0"/>
          <w:sz w:val="24"/>
          <w:szCs w:val="24"/>
          <w:highlight w:val="none"/>
          <w:lang w:val="en-GB"/>
        </w:rPr>
        <w:t>或取消。</w:t>
      </w:r>
    </w:p>
    <w:p>
      <w:pPr>
        <w:shd w:val="clear" w:color="auto" w:fill="auto"/>
        <w:tabs>
          <w:tab w:val="left" w:pos="540"/>
        </w:tabs>
        <w:spacing w:line="360" w:lineRule="auto"/>
        <w:ind w:firstLine="480" w:firstLineChars="200"/>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符合第1-4条其中之一废标条件时，将择日重新组织招标，同时将废标理由和处理决定知会各相关</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w:t>
      </w:r>
    </w:p>
    <w:bookmarkEnd w:id="89"/>
    <w:bookmarkEnd w:id="90"/>
    <w:bookmarkEnd w:id="91"/>
    <w:bookmarkEnd w:id="92"/>
    <w:bookmarkEnd w:id="93"/>
    <w:bookmarkEnd w:id="94"/>
    <w:bookmarkEnd w:id="95"/>
    <w:bookmarkEnd w:id="96"/>
    <w:p>
      <w:pPr>
        <w:shd w:val="clear" w:color="auto" w:fill="auto"/>
        <w:spacing w:line="360" w:lineRule="auto"/>
        <w:rPr>
          <w:rFonts w:hint="eastAsia" w:ascii="宋体" w:hAnsi="宋体" w:eastAsia="宋体" w:cs="宋体"/>
          <w:color w:val="auto"/>
          <w:kern w:val="0"/>
          <w:highlight w:val="none"/>
          <w:lang w:val="en-GB"/>
        </w:rPr>
      </w:pPr>
    </w:p>
    <w:p>
      <w:pPr>
        <w:pStyle w:val="3"/>
        <w:shd w:val="clear" w:color="auto" w:fill="auto"/>
        <w:spacing w:before="0" w:after="0" w:line="360" w:lineRule="auto"/>
        <w:jc w:val="center"/>
        <w:rPr>
          <w:rFonts w:hint="eastAsia" w:ascii="宋体" w:hAnsi="宋体" w:eastAsia="宋体" w:cs="宋体"/>
          <w:color w:val="auto"/>
          <w:kern w:val="0"/>
          <w:highlight w:val="none"/>
        </w:rPr>
      </w:pPr>
      <w:bookmarkStart w:id="97" w:name="_Toc24494"/>
      <w:bookmarkStart w:id="98" w:name="_Toc23624"/>
      <w:bookmarkStart w:id="99" w:name="_Toc412904431"/>
      <w:r>
        <w:rPr>
          <w:rFonts w:hint="eastAsia" w:ascii="宋体" w:hAnsi="宋体" w:eastAsia="宋体" w:cs="宋体"/>
          <w:color w:val="auto"/>
          <w:kern w:val="0"/>
          <w:highlight w:val="none"/>
        </w:rPr>
        <w:t>五、确定评审结果</w:t>
      </w:r>
      <w:bookmarkEnd w:id="97"/>
      <w:bookmarkEnd w:id="98"/>
      <w:bookmarkEnd w:id="99"/>
    </w:p>
    <w:p>
      <w:pPr>
        <w:numPr>
          <w:ilvl w:val="0"/>
          <w:numId w:val="49"/>
        </w:numPr>
        <w:shd w:val="clear" w:color="auto" w:fill="auto"/>
        <w:spacing w:before="312" w:beforeLines="100" w:line="360" w:lineRule="auto"/>
        <w:ind w:left="501" w:hanging="501" w:hangingChars="208"/>
        <w:rPr>
          <w:rFonts w:hint="eastAsia" w:ascii="宋体" w:hAnsi="宋体" w:eastAsia="宋体" w:cs="宋体"/>
          <w:b/>
          <w:color w:val="auto"/>
          <w:kern w:val="0"/>
          <w:sz w:val="24"/>
          <w:szCs w:val="24"/>
          <w:highlight w:val="none"/>
          <w:lang w:val="en-GB"/>
        </w:rPr>
      </w:pPr>
      <w:bookmarkStart w:id="100" w:name="_Toc157583146"/>
      <w:bookmarkStart w:id="101" w:name="_Toc185067997"/>
      <w:bookmarkStart w:id="102" w:name="_Toc163374508"/>
      <w:bookmarkStart w:id="103" w:name="_Toc157580086"/>
      <w:bookmarkStart w:id="104" w:name="_Toc26261453"/>
      <w:bookmarkStart w:id="105" w:name="_Toc25726406"/>
      <w:bookmarkStart w:id="106" w:name="_Toc34704912"/>
      <w:r>
        <w:rPr>
          <w:rFonts w:hint="eastAsia" w:ascii="宋体" w:hAnsi="宋体" w:eastAsia="宋体" w:cs="宋体"/>
          <w:b/>
          <w:color w:val="auto"/>
          <w:kern w:val="0"/>
          <w:sz w:val="24"/>
          <w:szCs w:val="24"/>
          <w:highlight w:val="none"/>
          <w:lang w:val="en-GB"/>
        </w:rPr>
        <w:t>中标资格的</w:t>
      </w:r>
      <w:bookmarkEnd w:id="100"/>
      <w:bookmarkEnd w:id="101"/>
      <w:bookmarkEnd w:id="102"/>
      <w:bookmarkEnd w:id="103"/>
      <w:r>
        <w:rPr>
          <w:rFonts w:hint="eastAsia" w:ascii="宋体" w:hAnsi="宋体" w:eastAsia="宋体" w:cs="宋体"/>
          <w:b/>
          <w:color w:val="auto"/>
          <w:kern w:val="0"/>
          <w:sz w:val="24"/>
          <w:szCs w:val="24"/>
          <w:highlight w:val="none"/>
          <w:lang w:val="en-GB"/>
        </w:rPr>
        <w:t>确定</w:t>
      </w:r>
    </w:p>
    <w:p>
      <w:pPr>
        <w:numPr>
          <w:ilvl w:val="0"/>
          <w:numId w:val="50"/>
        </w:numPr>
        <w:shd w:val="clear" w:color="auto" w:fill="auto"/>
        <w:spacing w:line="360" w:lineRule="auto"/>
        <w:ind w:left="502" w:hanging="501" w:hangingChars="209"/>
        <w:rPr>
          <w:rFonts w:hint="eastAsia" w:ascii="宋体" w:hAnsi="宋体" w:eastAsia="宋体" w:cs="宋体"/>
          <w:snapToGrid w:val="0"/>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rPr>
        <w:t>采购人可事先授权评标委员会直接确定</w:t>
      </w:r>
      <w:r>
        <w:rPr>
          <w:rFonts w:hint="eastAsia" w:ascii="宋体" w:hAnsi="宋体" w:eastAsia="宋体" w:cs="宋体"/>
          <w:snapToGrid w:val="0"/>
          <w:color w:val="auto"/>
          <w:kern w:val="0"/>
          <w:sz w:val="24"/>
          <w:szCs w:val="24"/>
          <w:highlight w:val="none"/>
          <w:lang w:val="en-GB" w:eastAsia="zh-CN"/>
        </w:rPr>
        <w:t>中标人</w:t>
      </w:r>
      <w:r>
        <w:rPr>
          <w:rFonts w:hint="eastAsia" w:ascii="宋体" w:hAnsi="宋体" w:eastAsia="宋体" w:cs="宋体"/>
          <w:snapToGrid w:val="0"/>
          <w:color w:val="auto"/>
          <w:kern w:val="0"/>
          <w:sz w:val="24"/>
          <w:szCs w:val="24"/>
          <w:highlight w:val="none"/>
          <w:lang w:val="en-GB"/>
        </w:rPr>
        <w:t>，或在法定时间内对评审推荐结果进行确认，本项目是否授权评标委员会确定</w:t>
      </w:r>
      <w:r>
        <w:rPr>
          <w:rFonts w:hint="eastAsia" w:ascii="宋体" w:hAnsi="宋体" w:eastAsia="宋体" w:cs="宋体"/>
          <w:snapToGrid w:val="0"/>
          <w:color w:val="auto"/>
          <w:kern w:val="0"/>
          <w:sz w:val="24"/>
          <w:szCs w:val="24"/>
          <w:highlight w:val="none"/>
          <w:lang w:val="en-GB" w:eastAsia="zh-CN"/>
        </w:rPr>
        <w:t>中标人</w:t>
      </w:r>
      <w:r>
        <w:rPr>
          <w:rFonts w:hint="eastAsia" w:ascii="宋体" w:hAnsi="宋体" w:eastAsia="宋体" w:cs="宋体"/>
          <w:snapToGrid w:val="0"/>
          <w:color w:val="auto"/>
          <w:kern w:val="0"/>
          <w:sz w:val="24"/>
          <w:szCs w:val="24"/>
          <w:highlight w:val="none"/>
          <w:lang w:val="en-GB"/>
        </w:rPr>
        <w:t>详见《</w:t>
      </w:r>
      <w:r>
        <w:rPr>
          <w:rFonts w:hint="eastAsia" w:ascii="宋体" w:hAnsi="宋体" w:eastAsia="宋体" w:cs="宋体"/>
          <w:snapToGrid w:val="0"/>
          <w:color w:val="auto"/>
          <w:kern w:val="0"/>
          <w:sz w:val="24"/>
          <w:szCs w:val="24"/>
          <w:highlight w:val="none"/>
          <w:lang w:val="en-GB" w:eastAsia="zh-CN"/>
        </w:rPr>
        <w:t>投标人须知前附表</w:t>
      </w:r>
      <w:r>
        <w:rPr>
          <w:rFonts w:hint="eastAsia" w:ascii="宋体" w:hAnsi="宋体" w:eastAsia="宋体" w:cs="宋体"/>
          <w:snapToGrid w:val="0"/>
          <w:color w:val="auto"/>
          <w:kern w:val="0"/>
          <w:sz w:val="24"/>
          <w:szCs w:val="24"/>
          <w:highlight w:val="none"/>
          <w:lang w:val="en-GB"/>
        </w:rPr>
        <w:t>》。</w:t>
      </w:r>
    </w:p>
    <w:p>
      <w:pPr>
        <w:numPr>
          <w:ilvl w:val="0"/>
          <w:numId w:val="50"/>
        </w:numPr>
        <w:shd w:val="clear" w:color="auto" w:fill="auto"/>
        <w:spacing w:line="360" w:lineRule="auto"/>
        <w:ind w:left="502" w:hanging="501" w:hangingChars="209"/>
        <w:rPr>
          <w:rFonts w:hint="eastAsia" w:ascii="宋体" w:hAnsi="宋体" w:eastAsia="宋体" w:cs="宋体"/>
          <w:snapToGrid w:val="0"/>
          <w:color w:val="auto"/>
          <w:kern w:val="0"/>
          <w:sz w:val="24"/>
          <w:szCs w:val="24"/>
          <w:highlight w:val="none"/>
          <w:lang w:val="en-GB"/>
        </w:rPr>
      </w:pPr>
      <w:r>
        <w:rPr>
          <w:rFonts w:hint="eastAsia" w:ascii="宋体" w:hAnsi="宋体" w:eastAsia="宋体" w:cs="宋体"/>
          <w:snapToGrid w:val="0"/>
          <w:color w:val="auto"/>
          <w:kern w:val="0"/>
          <w:sz w:val="24"/>
          <w:szCs w:val="24"/>
          <w:highlight w:val="none"/>
        </w:rPr>
        <w:t>如项目不属于授权评标委员会直接确定</w:t>
      </w:r>
      <w:r>
        <w:rPr>
          <w:rFonts w:hint="eastAsia" w:ascii="宋体" w:hAnsi="宋体" w:eastAsia="宋体" w:cs="宋体"/>
          <w:snapToGrid w:val="0"/>
          <w:color w:val="auto"/>
          <w:kern w:val="0"/>
          <w:sz w:val="24"/>
          <w:szCs w:val="24"/>
          <w:highlight w:val="none"/>
          <w:lang w:eastAsia="zh-CN"/>
        </w:rPr>
        <w:t>中标人</w:t>
      </w:r>
      <w:r>
        <w:rPr>
          <w:rFonts w:hint="eastAsia" w:ascii="宋体" w:hAnsi="宋体" w:eastAsia="宋体" w:cs="宋体"/>
          <w:snapToGrid w:val="0"/>
          <w:color w:val="auto"/>
          <w:kern w:val="0"/>
          <w:sz w:val="24"/>
          <w:szCs w:val="24"/>
          <w:highlight w:val="none"/>
        </w:rPr>
        <w:t>的，则评审结束后，采购代理机构将根据评标委员会的推荐意见和评审过程组织情况整理出《评标报告》，在评标结束后2个工作日内送交采购人。</w:t>
      </w:r>
    </w:p>
    <w:bookmarkEnd w:id="104"/>
    <w:bookmarkEnd w:id="105"/>
    <w:bookmarkEnd w:id="106"/>
    <w:p>
      <w:pPr>
        <w:numPr>
          <w:ilvl w:val="0"/>
          <w:numId w:val="50"/>
        </w:numPr>
        <w:shd w:val="clear" w:color="auto" w:fill="auto"/>
        <w:spacing w:line="356" w:lineRule="auto"/>
        <w:ind w:left="502" w:hanging="501" w:hangingChars="209"/>
        <w:rPr>
          <w:rFonts w:hint="eastAsia" w:ascii="宋体" w:hAnsi="宋体" w:eastAsia="宋体" w:cs="宋体"/>
          <w:snapToGrid w:val="0"/>
          <w:color w:val="auto"/>
          <w:kern w:val="0"/>
          <w:sz w:val="24"/>
          <w:highlight w:val="none"/>
          <w:lang w:val="en-GB"/>
        </w:rPr>
      </w:pPr>
      <w:r>
        <w:rPr>
          <w:rFonts w:hint="eastAsia" w:ascii="宋体" w:hAnsi="宋体" w:eastAsia="宋体" w:cs="宋体"/>
          <w:color w:val="auto"/>
          <w:kern w:val="0"/>
          <w:sz w:val="24"/>
          <w:highlight w:val="none"/>
        </w:rPr>
        <w:t>采购人应当自收到评标报告之日起5个工作日内，按</w:t>
      </w:r>
      <w:r>
        <w:rPr>
          <w:rFonts w:hint="eastAsia" w:ascii="宋体" w:hAnsi="宋体" w:eastAsia="宋体" w:cs="宋体"/>
          <w:snapToGrid w:val="0"/>
          <w:color w:val="auto"/>
          <w:kern w:val="0"/>
          <w:sz w:val="24"/>
          <w:highlight w:val="none"/>
        </w:rPr>
        <w:t>照招标文件的要求对</w:t>
      </w:r>
      <w:r>
        <w:rPr>
          <w:rFonts w:hint="eastAsia" w:ascii="宋体" w:hAnsi="宋体" w:eastAsia="宋体" w:cs="宋体"/>
          <w:color w:val="auto"/>
          <w:kern w:val="0"/>
          <w:sz w:val="24"/>
          <w:highlight w:val="none"/>
        </w:rPr>
        <w:t>评标报告确定的</w:t>
      </w:r>
      <w:r>
        <w:rPr>
          <w:rFonts w:hint="eastAsia" w:ascii="宋体" w:hAnsi="宋体" w:eastAsia="宋体" w:cs="宋体"/>
          <w:snapToGrid w:val="0"/>
          <w:color w:val="auto"/>
          <w:kern w:val="0"/>
          <w:sz w:val="24"/>
          <w:highlight w:val="none"/>
        </w:rPr>
        <w:t>中标候选人的资格、主要技术和商务条款的响应程度</w:t>
      </w:r>
      <w:r>
        <w:rPr>
          <w:rFonts w:hint="eastAsia" w:ascii="宋体" w:hAnsi="宋体" w:eastAsia="宋体" w:cs="宋体"/>
          <w:snapToGrid w:val="0"/>
          <w:color w:val="auto"/>
          <w:kern w:val="0"/>
          <w:sz w:val="24"/>
          <w:highlight w:val="none"/>
          <w:lang w:eastAsia="zh-CN"/>
        </w:rPr>
        <w:t>作进一步</w:t>
      </w:r>
      <w:r>
        <w:rPr>
          <w:rFonts w:hint="eastAsia" w:ascii="宋体" w:hAnsi="宋体" w:eastAsia="宋体" w:cs="宋体"/>
          <w:snapToGrid w:val="0"/>
          <w:color w:val="auto"/>
          <w:kern w:val="0"/>
          <w:sz w:val="24"/>
          <w:highlight w:val="none"/>
        </w:rPr>
        <w:t>的核实，确保投标方案能够完全满足招标文件的实质性要求，无出现重大偏离，且方案合法、真实、可行，并</w:t>
      </w:r>
      <w:r>
        <w:rPr>
          <w:rFonts w:hint="eastAsia" w:ascii="宋体" w:hAnsi="宋体" w:eastAsia="宋体" w:cs="宋体"/>
          <w:color w:val="auto"/>
          <w:kern w:val="0"/>
          <w:sz w:val="24"/>
          <w:highlight w:val="none"/>
        </w:rPr>
        <w:t>在评标报告确定的中标候选人名单中按顺序确定</w:t>
      </w:r>
      <w:r>
        <w:rPr>
          <w:rFonts w:hint="eastAsia" w:ascii="宋体" w:hAnsi="宋体" w:eastAsia="宋体" w:cs="宋体"/>
          <w:color w:val="auto"/>
          <w:kern w:val="0"/>
          <w:sz w:val="24"/>
          <w:highlight w:val="none"/>
          <w:lang w:eastAsia="zh-CN"/>
        </w:rPr>
        <w:t>中标供应商</w:t>
      </w:r>
      <w:r>
        <w:rPr>
          <w:rFonts w:hint="eastAsia" w:ascii="宋体" w:hAnsi="宋体" w:eastAsia="宋体" w:cs="宋体"/>
          <w:snapToGrid w:val="0"/>
          <w:color w:val="auto"/>
          <w:kern w:val="0"/>
          <w:sz w:val="24"/>
          <w:highlight w:val="none"/>
        </w:rPr>
        <w:t>。</w:t>
      </w:r>
    </w:p>
    <w:p>
      <w:pPr>
        <w:numPr>
          <w:ilvl w:val="0"/>
          <w:numId w:val="50"/>
        </w:numPr>
        <w:shd w:val="clear" w:color="auto" w:fill="auto"/>
        <w:spacing w:line="356" w:lineRule="auto"/>
        <w:ind w:left="502" w:hanging="501" w:hangingChars="209"/>
        <w:rPr>
          <w:rFonts w:hint="eastAsia" w:ascii="宋体" w:hAnsi="宋体" w:eastAsia="宋体" w:cs="宋体"/>
          <w:snapToGrid w:val="0"/>
          <w:color w:val="auto"/>
          <w:kern w:val="0"/>
          <w:sz w:val="24"/>
          <w:highlight w:val="none"/>
          <w:lang w:val="en-GB"/>
        </w:rPr>
      </w:pPr>
      <w:r>
        <w:rPr>
          <w:rFonts w:hint="eastAsia" w:ascii="宋体" w:hAnsi="宋体" w:eastAsia="宋体" w:cs="宋体"/>
          <w:snapToGrid w:val="0"/>
          <w:color w:val="auto"/>
          <w:kern w:val="0"/>
          <w:sz w:val="24"/>
          <w:highlight w:val="none"/>
        </w:rPr>
        <w:t>采购人因故逾期确认评审结果时，应提前书面知会采购代理机构和各投标人。</w:t>
      </w:r>
    </w:p>
    <w:p>
      <w:pPr>
        <w:numPr>
          <w:ilvl w:val="0"/>
          <w:numId w:val="50"/>
        </w:numPr>
        <w:shd w:val="clear" w:color="auto" w:fill="auto"/>
        <w:spacing w:line="356" w:lineRule="auto"/>
        <w:ind w:left="502" w:hanging="501" w:hangingChars="209"/>
        <w:rPr>
          <w:rFonts w:hint="eastAsia" w:ascii="宋体" w:hAnsi="宋体" w:eastAsia="宋体" w:cs="宋体"/>
          <w:snapToGrid w:val="0"/>
          <w:color w:val="auto"/>
          <w:kern w:val="0"/>
          <w:sz w:val="24"/>
          <w:highlight w:val="none"/>
          <w:lang w:val="en-GB"/>
        </w:rPr>
      </w:pPr>
      <w:r>
        <w:rPr>
          <w:rFonts w:hint="eastAsia" w:ascii="宋体" w:hAnsi="宋体" w:eastAsia="宋体" w:cs="宋体"/>
          <w:snapToGrid w:val="0"/>
          <w:color w:val="auto"/>
          <w:kern w:val="0"/>
          <w:sz w:val="24"/>
          <w:highlight w:val="none"/>
          <w:lang w:val="en-GB"/>
        </w:rPr>
        <w:t>中标候选人因故放弃中标资格，在采购人愿意采纳替补候选人投标方案，且报价合理的前提下，可按候选人排名次序，考虑由替补候选人填补为中标人。若没有预设替补候选者，或采购人不同意采纳替补候选人投标方案时，则本项目作采购失败处理。本项目的中标候选人推荐数量详见《投标人须知前附表》。</w:t>
      </w:r>
    </w:p>
    <w:p>
      <w:pPr>
        <w:numPr>
          <w:ilvl w:val="0"/>
          <w:numId w:val="49"/>
        </w:numPr>
        <w:shd w:val="clear" w:color="auto" w:fill="auto"/>
        <w:spacing w:before="312" w:beforeLines="100" w:line="360" w:lineRule="auto"/>
        <w:ind w:left="501" w:hanging="501" w:hangingChars="208"/>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中标通知</w:t>
      </w:r>
    </w:p>
    <w:p>
      <w:pPr>
        <w:numPr>
          <w:ilvl w:val="0"/>
          <w:numId w:val="51"/>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rPr>
        <w:t>采购代理机构将自</w:t>
      </w:r>
      <w:r>
        <w:rPr>
          <w:rFonts w:hint="eastAsia" w:ascii="宋体" w:hAnsi="宋体" w:eastAsia="宋体" w:cs="宋体"/>
          <w:snapToGrid w:val="0"/>
          <w:color w:val="auto"/>
          <w:kern w:val="0"/>
          <w:sz w:val="24"/>
          <w:szCs w:val="24"/>
          <w:highlight w:val="none"/>
          <w:lang w:val="en-GB" w:eastAsia="zh-CN"/>
        </w:rPr>
        <w:t>中标人</w:t>
      </w:r>
      <w:r>
        <w:rPr>
          <w:rFonts w:hint="eastAsia" w:ascii="宋体" w:hAnsi="宋体" w:eastAsia="宋体" w:cs="宋体"/>
          <w:snapToGrid w:val="0"/>
          <w:color w:val="auto"/>
          <w:kern w:val="0"/>
          <w:sz w:val="24"/>
          <w:szCs w:val="24"/>
          <w:highlight w:val="none"/>
          <w:lang w:val="en-GB"/>
        </w:rPr>
        <w:t>确定之日起2个工作日内，在</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投标人须知前附表</w:t>
      </w: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eastAsia="zh-CN"/>
        </w:rPr>
        <w:t>列示</w:t>
      </w:r>
      <w:r>
        <w:rPr>
          <w:rFonts w:hint="eastAsia" w:ascii="宋体" w:hAnsi="宋体" w:eastAsia="宋体" w:cs="宋体"/>
          <w:snapToGrid w:val="0"/>
          <w:color w:val="auto"/>
          <w:kern w:val="0"/>
          <w:sz w:val="24"/>
          <w:szCs w:val="24"/>
          <w:highlight w:val="none"/>
        </w:rPr>
        <w:t>的</w:t>
      </w:r>
      <w:r>
        <w:rPr>
          <w:rFonts w:hint="eastAsia" w:ascii="宋体" w:hAnsi="宋体" w:eastAsia="宋体" w:cs="宋体"/>
          <w:snapToGrid w:val="0"/>
          <w:color w:val="auto"/>
          <w:kern w:val="0"/>
          <w:sz w:val="24"/>
          <w:szCs w:val="24"/>
          <w:highlight w:val="none"/>
          <w:lang w:val="en-GB"/>
        </w:rPr>
        <w:t>指定媒体发布中标结果公告，中标公告</w:t>
      </w:r>
      <w:r>
        <w:rPr>
          <w:rFonts w:hint="eastAsia" w:ascii="宋体" w:hAnsi="宋体" w:eastAsia="宋体" w:cs="宋体"/>
          <w:snapToGrid w:val="0"/>
          <w:color w:val="auto"/>
          <w:kern w:val="0"/>
          <w:sz w:val="24"/>
          <w:szCs w:val="24"/>
          <w:highlight w:val="none"/>
        </w:rPr>
        <w:t>一经发布将视作已向所有</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发放中标结果通知，</w:t>
      </w:r>
      <w:r>
        <w:rPr>
          <w:rFonts w:hint="eastAsia" w:ascii="宋体" w:hAnsi="宋体" w:eastAsia="宋体" w:cs="宋体"/>
          <w:color w:val="auto"/>
          <w:kern w:val="0"/>
          <w:sz w:val="24"/>
          <w:szCs w:val="24"/>
          <w:highlight w:val="none"/>
        </w:rPr>
        <w:t>采用综合评分法评审的，视作告知未</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本人的评审得分与排序。</w:t>
      </w:r>
    </w:p>
    <w:p>
      <w:pPr>
        <w:numPr>
          <w:ilvl w:val="0"/>
          <w:numId w:val="51"/>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《中标通知书》将作为授予合同资格的唯一合法依据，对</w:t>
      </w:r>
      <w:r>
        <w:rPr>
          <w:rFonts w:hint="eastAsia" w:ascii="宋体" w:hAnsi="宋体" w:eastAsia="宋体" w:cs="宋体"/>
          <w:color w:val="auto"/>
          <w:kern w:val="0"/>
          <w:sz w:val="24"/>
          <w:szCs w:val="24"/>
          <w:highlight w:val="none"/>
          <w:lang w:val="en-GB" w:eastAsia="zh-CN"/>
        </w:rPr>
        <w:t>中标人</w:t>
      </w:r>
      <w:r>
        <w:rPr>
          <w:rFonts w:hint="eastAsia" w:ascii="宋体" w:hAnsi="宋体" w:eastAsia="宋体" w:cs="宋体"/>
          <w:color w:val="auto"/>
          <w:kern w:val="0"/>
          <w:sz w:val="24"/>
          <w:szCs w:val="24"/>
          <w:highlight w:val="none"/>
          <w:lang w:val="en-GB"/>
        </w:rPr>
        <w:t>和采购人具有同等法律效力。</w:t>
      </w:r>
    </w:p>
    <w:p>
      <w:pPr>
        <w:numPr>
          <w:ilvl w:val="0"/>
          <w:numId w:val="51"/>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在未取得合法理由而获批复前，</w:t>
      </w:r>
      <w:r>
        <w:rPr>
          <w:rFonts w:hint="eastAsia" w:ascii="宋体" w:hAnsi="宋体" w:eastAsia="宋体" w:cs="宋体"/>
          <w:color w:val="auto"/>
          <w:kern w:val="0"/>
          <w:sz w:val="24"/>
          <w:szCs w:val="24"/>
          <w:highlight w:val="none"/>
          <w:lang w:val="en-GB" w:eastAsia="zh-CN"/>
        </w:rPr>
        <w:t>中标人</w:t>
      </w:r>
      <w:r>
        <w:rPr>
          <w:rFonts w:hint="eastAsia" w:ascii="宋体" w:hAnsi="宋体" w:eastAsia="宋体" w:cs="宋体"/>
          <w:color w:val="auto"/>
          <w:kern w:val="0"/>
          <w:sz w:val="24"/>
          <w:szCs w:val="24"/>
          <w:highlight w:val="none"/>
          <w:lang w:val="en-GB"/>
        </w:rPr>
        <w:t>擅自放弃中标资格，则须承担相应的违约处罚责任，并赔偿采购人由此所造成的一切经济损失。</w:t>
      </w:r>
    </w:p>
    <w:p>
      <w:pPr>
        <w:numPr>
          <w:ilvl w:val="0"/>
          <w:numId w:val="51"/>
        </w:numPr>
        <w:shd w:val="clear" w:color="auto" w:fill="auto"/>
        <w:tabs>
          <w:tab w:val="left" w:pos="1287"/>
        </w:tabs>
        <w:spacing w:line="360" w:lineRule="auto"/>
        <w:ind w:left="502" w:hanging="501" w:hangingChars="209"/>
        <w:rPr>
          <w:rFonts w:hint="eastAsia" w:ascii="宋体" w:hAnsi="宋体" w:eastAsia="宋体" w:cs="宋体"/>
          <w:snapToGrid w:val="0"/>
          <w:color w:val="auto"/>
          <w:kern w:val="0"/>
          <w:sz w:val="24"/>
          <w:szCs w:val="24"/>
          <w:highlight w:val="none"/>
          <w:lang w:val="en-GB"/>
        </w:rPr>
      </w:pPr>
      <w:r>
        <w:rPr>
          <w:rFonts w:hint="eastAsia" w:ascii="宋体" w:hAnsi="宋体" w:eastAsia="宋体" w:cs="宋体"/>
          <w:snapToGrid w:val="0"/>
          <w:color w:val="auto"/>
          <w:kern w:val="0"/>
          <w:sz w:val="24"/>
          <w:szCs w:val="24"/>
          <w:highlight w:val="none"/>
        </w:rPr>
        <w:t>采购人对任何无效投标行为可追究至合同生效之前，一经被查证核实认定为无效投标者，其所获得的候选资格、中标资格均无效</w:t>
      </w:r>
      <w:r>
        <w:rPr>
          <w:rFonts w:hint="eastAsia" w:ascii="宋体" w:hAnsi="宋体" w:eastAsia="宋体" w:cs="宋体"/>
          <w:snapToGrid w:val="0"/>
          <w:color w:val="auto"/>
          <w:kern w:val="0"/>
          <w:sz w:val="24"/>
          <w:szCs w:val="24"/>
          <w:highlight w:val="none"/>
          <w:lang w:val="en-GB"/>
        </w:rPr>
        <w:t>。</w:t>
      </w:r>
    </w:p>
    <w:p>
      <w:pPr>
        <w:numPr>
          <w:ilvl w:val="0"/>
          <w:numId w:val="49"/>
        </w:numPr>
        <w:shd w:val="clear" w:color="auto" w:fill="auto"/>
        <w:spacing w:before="312" w:beforeLines="100" w:line="360" w:lineRule="auto"/>
        <w:ind w:left="501" w:hanging="501" w:hangingChars="208"/>
        <w:rPr>
          <w:rFonts w:hint="eastAsia" w:ascii="宋体" w:hAnsi="宋体" w:eastAsia="宋体" w:cs="宋体"/>
          <w:b/>
          <w:color w:val="auto"/>
          <w:kern w:val="0"/>
          <w:sz w:val="24"/>
          <w:szCs w:val="24"/>
          <w:highlight w:val="none"/>
          <w:lang w:val="en-GB"/>
        </w:rPr>
      </w:pPr>
      <w:r>
        <w:rPr>
          <w:rFonts w:hint="eastAsia" w:ascii="宋体" w:hAnsi="宋体" w:eastAsia="宋体" w:cs="宋体"/>
          <w:b/>
          <w:color w:val="auto"/>
          <w:kern w:val="0"/>
          <w:sz w:val="24"/>
          <w:szCs w:val="24"/>
          <w:highlight w:val="none"/>
          <w:lang w:val="en-GB"/>
        </w:rPr>
        <w:t>合同签订、争议与跟踪</w:t>
      </w:r>
    </w:p>
    <w:p>
      <w:pPr>
        <w:numPr>
          <w:ilvl w:val="0"/>
          <w:numId w:val="52"/>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中标人</w:t>
      </w:r>
      <w:r>
        <w:rPr>
          <w:rFonts w:hint="eastAsia" w:ascii="宋体" w:hAnsi="宋体" w:eastAsia="宋体" w:cs="宋体"/>
          <w:color w:val="auto"/>
          <w:kern w:val="0"/>
          <w:sz w:val="24"/>
          <w:szCs w:val="24"/>
          <w:highlight w:val="none"/>
          <w:lang w:val="en-GB"/>
        </w:rPr>
        <w:t>应按照《中标通知书》的要求与采购人签订合同。</w:t>
      </w:r>
      <w:r>
        <w:rPr>
          <w:rFonts w:hint="eastAsia" w:ascii="宋体" w:hAnsi="宋体" w:eastAsia="宋体" w:cs="宋体"/>
          <w:snapToGrid w:val="0"/>
          <w:color w:val="auto"/>
          <w:kern w:val="0"/>
          <w:sz w:val="24"/>
          <w:szCs w:val="24"/>
          <w:highlight w:val="none"/>
          <w:lang w:val="en-GB"/>
        </w:rPr>
        <w:t>如对抗或拖延履行签订合同责任和义务时，视为拒绝与采购人签订合同，</w:t>
      </w:r>
      <w:r>
        <w:rPr>
          <w:rFonts w:hint="eastAsia" w:ascii="宋体" w:hAnsi="宋体" w:eastAsia="宋体" w:cs="宋体"/>
          <w:color w:val="auto"/>
          <w:kern w:val="0"/>
          <w:sz w:val="24"/>
          <w:szCs w:val="24"/>
          <w:highlight w:val="none"/>
          <w:lang w:val="en-GB" w:eastAsia="zh-CN"/>
        </w:rPr>
        <w:t>中标人</w:t>
      </w:r>
      <w:r>
        <w:rPr>
          <w:rFonts w:hint="eastAsia" w:ascii="宋体" w:hAnsi="宋体" w:eastAsia="宋体" w:cs="宋体"/>
          <w:snapToGrid w:val="0"/>
          <w:color w:val="auto"/>
          <w:kern w:val="0"/>
          <w:sz w:val="24"/>
          <w:szCs w:val="24"/>
          <w:highlight w:val="none"/>
          <w:lang w:val="en-GB"/>
        </w:rPr>
        <w:t>应承担违约责任和经济赔偿，其投标保证金不予退还，并列入不良行为记录。给采购人造成的损失超过投标保证金数额的，还应当对超过部分予以赔偿。</w:t>
      </w:r>
    </w:p>
    <w:p>
      <w:pPr>
        <w:numPr>
          <w:ilvl w:val="0"/>
          <w:numId w:val="52"/>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招标文件</w:t>
      </w:r>
      <w:r>
        <w:rPr>
          <w:rFonts w:hint="eastAsia" w:ascii="宋体" w:hAnsi="宋体" w:eastAsia="宋体" w:cs="宋体"/>
          <w:color w:val="auto"/>
          <w:kern w:val="0"/>
          <w:sz w:val="24"/>
          <w:szCs w:val="24"/>
          <w:highlight w:val="none"/>
          <w:lang w:val="en-GB"/>
        </w:rPr>
        <w:t>、投标文件、相关澄清材料及来往确认文件，均作为合同订立和裁定争议的依据，对这些文件个别条款要约的理解存有歧义、偏差、含糊、疏漏等情形时，一切以能够实现项目的功能效果和设计目标为前提，均以采购人或采购代理机构的理解判断为准。</w:t>
      </w:r>
    </w:p>
    <w:p>
      <w:pPr>
        <w:numPr>
          <w:ilvl w:val="0"/>
          <w:numId w:val="52"/>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在不违背原采购方案要求和各方认可的文件内容前提下，合同当事人可对合同范本中个别非实质性条款共同协商完善补充修正。</w:t>
      </w:r>
    </w:p>
    <w:p>
      <w:pPr>
        <w:numPr>
          <w:ilvl w:val="0"/>
          <w:numId w:val="52"/>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snapToGrid w:val="0"/>
          <w:color w:val="auto"/>
          <w:kern w:val="0"/>
          <w:sz w:val="24"/>
          <w:szCs w:val="24"/>
          <w:highlight w:val="none"/>
          <w:lang w:val="en-GB" w:eastAsia="zh-CN"/>
        </w:rPr>
        <w:t>合同签订</w:t>
      </w:r>
      <w:r>
        <w:rPr>
          <w:rFonts w:hint="eastAsia" w:ascii="宋体" w:hAnsi="宋体" w:eastAsia="宋体" w:cs="宋体"/>
          <w:snapToGrid w:val="0"/>
          <w:color w:val="auto"/>
          <w:kern w:val="0"/>
          <w:sz w:val="24"/>
          <w:szCs w:val="24"/>
          <w:highlight w:val="none"/>
          <w:lang w:val="en-GB"/>
        </w:rPr>
        <w:t>并从采购代理机构见证</w:t>
      </w:r>
      <w:r>
        <w:rPr>
          <w:rFonts w:hint="eastAsia" w:ascii="宋体" w:hAnsi="宋体" w:eastAsia="宋体" w:cs="宋体"/>
          <w:color w:val="auto"/>
          <w:kern w:val="0"/>
          <w:sz w:val="24"/>
          <w:szCs w:val="24"/>
          <w:highlight w:val="none"/>
          <w:lang w:val="en-GB"/>
        </w:rPr>
        <w:t>之日起生效。</w:t>
      </w:r>
    </w:p>
    <w:p>
      <w:pPr>
        <w:numPr>
          <w:ilvl w:val="0"/>
          <w:numId w:val="52"/>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合同生效后一切行为均适用于《</w:t>
      </w:r>
      <w:r>
        <w:rPr>
          <w:rFonts w:hint="eastAsia" w:ascii="宋体" w:hAnsi="宋体" w:eastAsia="宋体" w:cs="宋体"/>
          <w:color w:val="auto"/>
          <w:kern w:val="0"/>
          <w:sz w:val="24"/>
          <w:szCs w:val="24"/>
          <w:highlight w:val="none"/>
          <w:lang w:val="en-GB" w:eastAsia="zh-CN"/>
        </w:rPr>
        <w:t>中华人民共和国民法典</w:t>
      </w:r>
      <w:r>
        <w:rPr>
          <w:rFonts w:hint="eastAsia" w:ascii="宋体" w:hAnsi="宋体" w:eastAsia="宋体" w:cs="宋体"/>
          <w:color w:val="auto"/>
          <w:kern w:val="0"/>
          <w:sz w:val="24"/>
          <w:szCs w:val="24"/>
          <w:highlight w:val="none"/>
          <w:lang w:val="en-GB"/>
        </w:rPr>
        <w:t>》，履约期间有违约过错的一方，须承担相应的责任。</w:t>
      </w:r>
    </w:p>
    <w:p>
      <w:pPr>
        <w:numPr>
          <w:ilvl w:val="0"/>
          <w:numId w:val="49"/>
        </w:numPr>
        <w:shd w:val="clear" w:color="auto" w:fill="auto"/>
        <w:spacing w:before="312" w:beforeLines="100" w:line="360" w:lineRule="auto"/>
        <w:ind w:left="501" w:hanging="501" w:hangingChars="208"/>
        <w:rPr>
          <w:rFonts w:hint="eastAsia" w:ascii="宋体" w:hAnsi="宋体" w:eastAsia="宋体" w:cs="宋体"/>
          <w:b/>
          <w:color w:val="auto"/>
          <w:kern w:val="0"/>
          <w:sz w:val="24"/>
          <w:szCs w:val="24"/>
          <w:highlight w:val="none"/>
          <w:lang w:val="en-GB"/>
        </w:rPr>
      </w:pPr>
      <w:bookmarkStart w:id="107" w:name="_Toc136662934"/>
      <w:bookmarkStart w:id="108" w:name="_Toc138228447"/>
      <w:bookmarkStart w:id="109" w:name="_Toc136682910"/>
      <w:bookmarkStart w:id="110" w:name="_Toc119321145"/>
      <w:r>
        <w:rPr>
          <w:rFonts w:hint="eastAsia" w:ascii="宋体" w:hAnsi="宋体" w:eastAsia="宋体" w:cs="宋体"/>
          <w:b/>
          <w:color w:val="auto"/>
          <w:kern w:val="0"/>
          <w:sz w:val="24"/>
          <w:szCs w:val="24"/>
          <w:highlight w:val="none"/>
          <w:lang w:val="en-GB"/>
        </w:rPr>
        <w:t>质疑与投诉</w:t>
      </w:r>
      <w:bookmarkEnd w:id="107"/>
      <w:bookmarkEnd w:id="108"/>
      <w:bookmarkEnd w:id="109"/>
      <w:bookmarkEnd w:id="110"/>
    </w:p>
    <w:p>
      <w:pPr>
        <w:numPr>
          <w:ilvl w:val="0"/>
          <w:numId w:val="53"/>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询问</w:t>
      </w:r>
    </w:p>
    <w:p>
      <w:pPr>
        <w:numPr>
          <w:ilvl w:val="0"/>
          <w:numId w:val="54"/>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lang w:eastAsia="zh-CN"/>
        </w:rPr>
        <w:t>投标人</w:t>
      </w:r>
      <w:r>
        <w:rPr>
          <w:rFonts w:hint="eastAsia" w:ascii="宋体" w:hAnsi="宋体" w:cs="宋体"/>
          <w:bCs/>
          <w:sz w:val="24"/>
          <w:szCs w:val="24"/>
        </w:rPr>
        <w:t>对招标采购活动事项有疑问的，可以向采购人、采购代理机构提出询问，询问可以口头方式提出，也可以书面方式提出。</w:t>
      </w:r>
    </w:p>
    <w:p>
      <w:pPr>
        <w:numPr>
          <w:ilvl w:val="0"/>
          <w:numId w:val="54"/>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rPr>
        <w:t>采购人、采购代理机构在三个工作日内对</w:t>
      </w:r>
      <w:r>
        <w:rPr>
          <w:rFonts w:hint="eastAsia" w:ascii="宋体" w:hAnsi="宋体" w:cs="宋体"/>
          <w:bCs/>
          <w:sz w:val="24"/>
          <w:szCs w:val="24"/>
          <w:lang w:eastAsia="zh-CN"/>
        </w:rPr>
        <w:t>投标人</w:t>
      </w:r>
      <w:r>
        <w:rPr>
          <w:rFonts w:hint="eastAsia" w:ascii="宋体" w:hAnsi="宋体" w:cs="宋体"/>
          <w:bCs/>
          <w:sz w:val="24"/>
          <w:szCs w:val="24"/>
        </w:rPr>
        <w:t>依法提出的询问作出答复。</w:t>
      </w:r>
    </w:p>
    <w:p>
      <w:pPr>
        <w:numPr>
          <w:ilvl w:val="0"/>
          <w:numId w:val="53"/>
        </w:numPr>
        <w:shd w:val="clear" w:color="auto" w:fill="auto"/>
        <w:tabs>
          <w:tab w:val="left" w:pos="630"/>
          <w:tab w:val="left" w:pos="840"/>
        </w:tabs>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质疑</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rPr>
        <w:t>质疑期限：</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lang w:eastAsia="zh-CN"/>
        </w:rPr>
        <w:t>投标人</w:t>
      </w:r>
      <w:r>
        <w:rPr>
          <w:rFonts w:hint="eastAsia" w:ascii="宋体" w:hAnsi="宋体" w:cs="宋体"/>
          <w:bCs/>
          <w:sz w:val="24"/>
          <w:szCs w:val="24"/>
        </w:rPr>
        <w:t>认为招标文件的内容损害其权益的，应在收到招标文件之日或者</w:t>
      </w:r>
      <w:r>
        <w:rPr>
          <w:rFonts w:hint="eastAsia" w:ascii="宋体" w:hAnsi="宋体" w:cs="宋体"/>
          <w:bCs/>
          <w:sz w:val="24"/>
          <w:szCs w:val="24"/>
          <w:lang w:eastAsia="zh-CN"/>
        </w:rPr>
        <w:t>投标邀请书</w:t>
      </w:r>
      <w:r>
        <w:rPr>
          <w:rFonts w:hint="eastAsia" w:ascii="宋体" w:hAnsi="宋体" w:cs="宋体"/>
          <w:bCs/>
          <w:sz w:val="24"/>
          <w:szCs w:val="24"/>
        </w:rPr>
        <w:t>期届满之日起七个工作日内。</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lang w:eastAsia="zh-CN"/>
        </w:rPr>
        <w:t>投标人</w:t>
      </w:r>
      <w:r>
        <w:rPr>
          <w:rFonts w:hint="eastAsia" w:ascii="宋体" w:hAnsi="宋体" w:cs="宋体"/>
          <w:bCs/>
          <w:sz w:val="24"/>
          <w:szCs w:val="24"/>
        </w:rPr>
        <w:t>认为采购过程损害其权益的，应在各采购程序环节结束之日起七个工作日内。</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lang w:eastAsia="zh-CN"/>
        </w:rPr>
        <w:t>投标人</w:t>
      </w:r>
      <w:r>
        <w:rPr>
          <w:rFonts w:hint="eastAsia" w:ascii="宋体" w:hAnsi="宋体" w:cs="宋体"/>
          <w:bCs/>
          <w:sz w:val="24"/>
          <w:szCs w:val="24"/>
        </w:rPr>
        <w:t>认为中标或者成交结果损害其权益的，应在中标或者成交结果公告期限届满之日起七个工作日内。</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lang w:eastAsia="zh-CN"/>
        </w:rPr>
        <w:t>投标人</w:t>
      </w:r>
      <w:r>
        <w:rPr>
          <w:rFonts w:hint="eastAsia" w:ascii="宋体" w:hAnsi="宋体" w:cs="宋体"/>
          <w:bCs/>
          <w:sz w:val="24"/>
          <w:szCs w:val="24"/>
        </w:rPr>
        <w:t>应在法定质疑期内一次性提出针对同一采购程序环节的质疑。</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rPr>
        <w:t>提交要求：</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rPr>
        <w:t>以书面形式当面（加盖投标人公章，投标人以电话、传真、邮递、快递或电邮等形式提交的质疑属于无效质疑）向采购人、采购代理机构提出质疑。</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rPr>
        <w:t>以联合体形式参加招标采购活动的，其质疑应当由组成联合体的所有</w:t>
      </w:r>
      <w:r>
        <w:rPr>
          <w:rFonts w:hint="eastAsia" w:ascii="宋体" w:hAnsi="宋体" w:cs="宋体"/>
          <w:bCs/>
          <w:sz w:val="24"/>
          <w:szCs w:val="24"/>
          <w:lang w:eastAsia="zh-CN"/>
        </w:rPr>
        <w:t>投标人</w:t>
      </w:r>
      <w:r>
        <w:rPr>
          <w:rFonts w:hint="eastAsia" w:ascii="宋体" w:hAnsi="宋体" w:cs="宋体"/>
          <w:bCs/>
          <w:sz w:val="24"/>
          <w:szCs w:val="24"/>
        </w:rPr>
        <w:t>共同提出。</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rPr>
        <w:t>质疑书内容：应包括具体的质疑事项、事实依据及相关确凿的证明材料、明确的请求、投标人名称及地址、授权代表姓名及其联系电话、质疑时间。质疑书应当署名并由法定代表人或授权代表签字并加盖公章。投标人递交质疑书时需提供质疑书原件、法定代表人授权委托书（应载明委托代理的具体权限及事项）及授权代表身份证复印件。</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lang w:eastAsia="zh-CN"/>
        </w:rPr>
        <w:t>投标人</w:t>
      </w:r>
      <w:r>
        <w:rPr>
          <w:rFonts w:hint="eastAsia" w:ascii="宋体" w:hAnsi="宋体" w:cs="宋体"/>
          <w:bCs/>
          <w:sz w:val="24"/>
          <w:szCs w:val="24"/>
        </w:rPr>
        <w:t>质疑应当有明确的请求和必要的证明材料，捏造事实、提供虚假材料或者以非法手段取得证明材料不能作为质疑的证明材料。</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rPr>
        <w:t>采购人、采购代理机构在收到投标人的书面质疑后7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pPr>
        <w:numPr>
          <w:ilvl w:val="0"/>
          <w:numId w:val="55"/>
        </w:numPr>
        <w:tabs>
          <w:tab w:val="left" w:pos="420"/>
          <w:tab w:val="left" w:pos="630"/>
          <w:tab w:val="left" w:pos="840"/>
        </w:tabs>
        <w:snapToGrid w:val="0"/>
        <w:spacing w:line="360" w:lineRule="auto"/>
        <w:ind w:left="425" w:leftChars="0" w:hanging="425" w:firstLineChars="0"/>
        <w:rPr>
          <w:rFonts w:hint="eastAsia" w:ascii="宋体" w:hAnsi="宋体" w:cs="宋体"/>
          <w:bCs/>
          <w:sz w:val="24"/>
          <w:szCs w:val="24"/>
        </w:rPr>
      </w:pPr>
      <w:r>
        <w:rPr>
          <w:rFonts w:hint="eastAsia" w:ascii="宋体" w:hAnsi="宋体" w:cs="宋体"/>
          <w:bCs/>
          <w:sz w:val="24"/>
          <w:szCs w:val="24"/>
        </w:rPr>
        <w:t>对于捏造事实、滥用维权扰乱采购秩序的恶意质疑者或举证不全查无实据被驳回次数在一年内达三次以上，将纳入不良行为记录名单并承担相应的法律责任。</w:t>
      </w:r>
    </w:p>
    <w:p>
      <w:pPr>
        <w:numPr>
          <w:ilvl w:val="0"/>
          <w:numId w:val="53"/>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投诉</w:t>
      </w:r>
    </w:p>
    <w:p>
      <w:pPr>
        <w:numPr>
          <w:ilvl w:val="0"/>
          <w:numId w:val="56"/>
        </w:numPr>
        <w:tabs>
          <w:tab w:val="left" w:pos="640"/>
        </w:tabs>
        <w:snapToGrid w:val="0"/>
        <w:spacing w:line="360" w:lineRule="auto"/>
        <w:ind w:left="425" w:leftChars="0" w:hanging="425" w:firstLineChars="0"/>
        <w:rPr>
          <w:rFonts w:hint="eastAsia" w:ascii="宋体" w:hAnsi="宋体" w:cs="宋体"/>
          <w:b/>
          <w:bCs w:val="0"/>
          <w:sz w:val="24"/>
          <w:szCs w:val="24"/>
        </w:rPr>
      </w:pPr>
      <w:r>
        <w:rPr>
          <w:rFonts w:hint="eastAsia" w:ascii="宋体" w:hAnsi="宋体" w:cs="宋体"/>
          <w:b/>
          <w:bCs w:val="0"/>
          <w:sz w:val="24"/>
          <w:szCs w:val="24"/>
        </w:rPr>
        <w:t>项目所称</w:t>
      </w:r>
      <w:r>
        <w:rPr>
          <w:rFonts w:hint="eastAsia" w:ascii="宋体" w:hAnsi="宋体" w:cs="宋体"/>
          <w:b/>
          <w:bCs w:val="0"/>
          <w:sz w:val="24"/>
          <w:szCs w:val="24"/>
          <w:lang w:val="en-US" w:eastAsia="zh-CN"/>
        </w:rPr>
        <w:t>邀请</w:t>
      </w:r>
      <w:r>
        <w:rPr>
          <w:rFonts w:hint="eastAsia" w:ascii="宋体" w:hAnsi="宋体" w:cs="宋体"/>
          <w:b/>
          <w:bCs w:val="0"/>
          <w:sz w:val="24"/>
          <w:szCs w:val="24"/>
        </w:rPr>
        <w:t>招标不是</w:t>
      </w:r>
      <w:r>
        <w:rPr>
          <w:rFonts w:hint="eastAsia" w:ascii="宋体" w:hAnsi="宋体" w:eastAsia="宋体" w:cs="宋体"/>
          <w:b/>
          <w:bCs/>
          <w:snapToGrid w:val="0"/>
          <w:color w:val="auto"/>
          <w:kern w:val="0"/>
          <w:sz w:val="24"/>
          <w:highlight w:val="none"/>
          <w:lang w:val="en-GB"/>
        </w:rPr>
        <w:t>《中华人民共和国招标投标法》</w:t>
      </w:r>
      <w:r>
        <w:rPr>
          <w:rFonts w:hint="eastAsia" w:ascii="宋体" w:hAnsi="宋体" w:cs="宋体"/>
          <w:b/>
          <w:bCs w:val="0"/>
          <w:sz w:val="24"/>
          <w:szCs w:val="24"/>
        </w:rPr>
        <w:t>所定义的招标投标活动，也不属于政府采购项目，因此不执行</w:t>
      </w:r>
      <w:r>
        <w:rPr>
          <w:rFonts w:hint="eastAsia" w:ascii="宋体" w:hAnsi="宋体" w:eastAsia="宋体" w:cs="宋体"/>
          <w:b/>
          <w:bCs/>
          <w:snapToGrid w:val="0"/>
          <w:color w:val="auto"/>
          <w:kern w:val="0"/>
          <w:sz w:val="24"/>
          <w:highlight w:val="none"/>
          <w:lang w:val="en-GB"/>
        </w:rPr>
        <w:t>《中华人民共和国政府采购法》</w:t>
      </w:r>
      <w:r>
        <w:rPr>
          <w:rFonts w:hint="eastAsia" w:ascii="宋体" w:hAnsi="宋体" w:cs="宋体"/>
          <w:b/>
          <w:bCs w:val="0"/>
          <w:sz w:val="24"/>
          <w:szCs w:val="24"/>
        </w:rPr>
        <w:t>及相关法规、</w:t>
      </w:r>
      <w:r>
        <w:rPr>
          <w:rFonts w:hint="eastAsia" w:ascii="宋体" w:hAnsi="宋体" w:eastAsia="宋体" w:cs="宋体"/>
          <w:b/>
          <w:bCs/>
          <w:snapToGrid w:val="0"/>
          <w:color w:val="auto"/>
          <w:kern w:val="0"/>
          <w:sz w:val="24"/>
          <w:highlight w:val="none"/>
          <w:lang w:val="en-GB"/>
        </w:rPr>
        <w:t>《中华人民共和国招标投标法》</w:t>
      </w:r>
      <w:r>
        <w:rPr>
          <w:rFonts w:hint="eastAsia" w:ascii="宋体" w:hAnsi="宋体" w:cs="宋体"/>
          <w:b/>
          <w:bCs w:val="0"/>
          <w:sz w:val="24"/>
          <w:szCs w:val="24"/>
        </w:rPr>
        <w:t>及相关法规，仅参照政府采购部分</w:t>
      </w:r>
      <w:r>
        <w:rPr>
          <w:rFonts w:hint="eastAsia" w:ascii="宋体" w:hAnsi="宋体" w:cs="宋体"/>
          <w:b/>
          <w:bCs w:val="0"/>
          <w:sz w:val="24"/>
          <w:szCs w:val="24"/>
          <w:lang w:eastAsia="zh-CN"/>
        </w:rPr>
        <w:t>邀请招标</w:t>
      </w:r>
      <w:r>
        <w:rPr>
          <w:rFonts w:hint="eastAsia" w:ascii="宋体" w:hAnsi="宋体" w:cs="宋体"/>
          <w:b/>
          <w:bCs w:val="0"/>
          <w:sz w:val="24"/>
          <w:szCs w:val="24"/>
        </w:rPr>
        <w:t>流程进行。</w:t>
      </w:r>
    </w:p>
    <w:p>
      <w:pPr>
        <w:numPr>
          <w:ilvl w:val="0"/>
          <w:numId w:val="56"/>
        </w:numPr>
        <w:tabs>
          <w:tab w:val="left" w:pos="640"/>
        </w:tabs>
        <w:snapToGrid w:val="0"/>
        <w:spacing w:line="360" w:lineRule="auto"/>
        <w:ind w:left="425" w:leftChars="0" w:hanging="425" w:firstLineChars="0"/>
        <w:rPr>
          <w:rFonts w:hint="eastAsia" w:ascii="宋体" w:hAnsi="宋体" w:cs="宋体"/>
          <w:b/>
          <w:bCs w:val="0"/>
          <w:sz w:val="24"/>
          <w:szCs w:val="24"/>
        </w:rPr>
      </w:pPr>
      <w:r>
        <w:rPr>
          <w:rFonts w:hint="eastAsia" w:ascii="宋体" w:hAnsi="宋体" w:cs="宋体"/>
          <w:b/>
          <w:bCs w:val="0"/>
          <w:sz w:val="24"/>
          <w:szCs w:val="24"/>
        </w:rPr>
        <w:t>本项目不受理投诉。</w:t>
      </w:r>
    </w:p>
    <w:p>
      <w:pPr>
        <w:numPr>
          <w:ilvl w:val="0"/>
          <w:numId w:val="53"/>
        </w:numPr>
        <w:shd w:val="clear" w:color="auto" w:fill="auto"/>
        <w:spacing w:line="360" w:lineRule="auto"/>
        <w:ind w:left="502" w:hanging="501" w:hangingChars="209"/>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说明：本部分格式为投标人提交询问函、质疑函时使用，不属于投标文件格式的组成部分。</w:t>
      </w:r>
    </w:p>
    <w:p>
      <w:pPr>
        <w:numPr>
          <w:ilvl w:val="0"/>
          <w:numId w:val="49"/>
        </w:numPr>
        <w:shd w:val="clear" w:color="auto" w:fill="auto"/>
        <w:spacing w:before="312" w:beforeLines="100" w:line="360" w:lineRule="auto"/>
        <w:ind w:left="501" w:hanging="501" w:hangingChars="208"/>
        <w:rPr>
          <w:rFonts w:hint="eastAsia" w:ascii="宋体" w:hAnsi="宋体" w:eastAsia="宋体" w:cs="宋体"/>
          <w:b/>
          <w:color w:val="auto"/>
          <w:kern w:val="0"/>
          <w:sz w:val="24"/>
          <w:szCs w:val="24"/>
          <w:highlight w:val="none"/>
          <w:lang w:val="en-GB"/>
        </w:rPr>
      </w:pPr>
      <w:bookmarkStart w:id="111" w:name="_Toc63072618"/>
      <w:r>
        <w:rPr>
          <w:rFonts w:hint="eastAsia" w:ascii="宋体" w:hAnsi="宋体" w:eastAsia="宋体" w:cs="宋体"/>
          <w:b/>
          <w:color w:val="auto"/>
          <w:kern w:val="0"/>
          <w:sz w:val="24"/>
          <w:szCs w:val="24"/>
          <w:highlight w:val="none"/>
          <w:lang w:val="en-GB"/>
        </w:rPr>
        <w:t>解释权</w:t>
      </w:r>
      <w:bookmarkEnd w:id="111"/>
    </w:p>
    <w:p>
      <w:pPr>
        <w:numPr>
          <w:ilvl w:val="0"/>
          <w:numId w:val="57"/>
        </w:numPr>
        <w:shd w:val="clear" w:color="auto" w:fill="auto"/>
        <w:spacing w:line="356" w:lineRule="auto"/>
        <w:ind w:left="502" w:hanging="504" w:hangingChars="209"/>
        <w:rPr>
          <w:rFonts w:hint="eastAsia" w:ascii="宋体" w:hAnsi="宋体" w:eastAsia="宋体" w:cs="宋体"/>
          <w:b/>
          <w:bCs/>
          <w:snapToGrid w:val="0"/>
          <w:color w:val="auto"/>
          <w:kern w:val="0"/>
          <w:sz w:val="24"/>
          <w:highlight w:val="none"/>
          <w:lang w:val="en-GB"/>
        </w:rPr>
      </w:pPr>
      <w:r>
        <w:rPr>
          <w:rFonts w:hint="eastAsia" w:ascii="宋体" w:hAnsi="宋体" w:eastAsia="宋体" w:cs="宋体"/>
          <w:b/>
          <w:bCs/>
          <w:snapToGrid w:val="0"/>
          <w:color w:val="auto"/>
          <w:kern w:val="0"/>
          <w:sz w:val="24"/>
          <w:highlight w:val="none"/>
          <w:lang w:val="en-GB"/>
        </w:rPr>
        <w:t>本项目属于采购人企业采购行为，不适用《中华人民共和国招标投标法》</w:t>
      </w:r>
      <w:bookmarkStart w:id="138" w:name="_GoBack"/>
      <w:bookmarkEnd w:id="138"/>
      <w:r>
        <w:rPr>
          <w:rFonts w:hint="eastAsia" w:ascii="宋体" w:hAnsi="宋体" w:eastAsia="宋体" w:cs="宋体"/>
          <w:b/>
          <w:bCs/>
          <w:snapToGrid w:val="0"/>
          <w:color w:val="auto"/>
          <w:kern w:val="0"/>
          <w:sz w:val="24"/>
          <w:highlight w:val="none"/>
          <w:lang w:val="en-GB"/>
        </w:rPr>
        <w:t>《中华人民共和国招标投标法实施条例》以及《中华人民共和国政府采购法》，</w:t>
      </w:r>
      <w:r>
        <w:rPr>
          <w:rFonts w:hint="eastAsia" w:ascii="宋体" w:hAnsi="宋体" w:cs="宋体"/>
          <w:b/>
          <w:bCs/>
          <w:snapToGrid w:val="0"/>
          <w:color w:val="auto"/>
          <w:kern w:val="0"/>
          <w:sz w:val="24"/>
          <w:highlight w:val="none"/>
          <w:lang w:val="en-US" w:eastAsia="zh-CN"/>
        </w:rPr>
        <w:t>投标邀请书</w:t>
      </w:r>
      <w:r>
        <w:rPr>
          <w:rFonts w:hint="eastAsia" w:ascii="宋体" w:hAnsi="宋体" w:eastAsia="宋体" w:cs="宋体"/>
          <w:b/>
          <w:bCs/>
          <w:snapToGrid w:val="0"/>
          <w:color w:val="auto"/>
          <w:kern w:val="0"/>
          <w:sz w:val="24"/>
          <w:highlight w:val="none"/>
          <w:lang w:val="en-GB"/>
        </w:rPr>
        <w:t>及招标文件的最终解释权归采购人所有。</w:t>
      </w:r>
    </w:p>
    <w:p>
      <w:pPr>
        <w:numPr>
          <w:ilvl w:val="0"/>
          <w:numId w:val="57"/>
        </w:numPr>
        <w:shd w:val="clear" w:color="auto" w:fill="auto"/>
        <w:spacing w:line="356" w:lineRule="auto"/>
        <w:ind w:left="502" w:hanging="504" w:hangingChars="209"/>
        <w:rPr>
          <w:rFonts w:hint="eastAsia" w:ascii="宋体" w:hAnsi="宋体" w:eastAsia="宋体" w:cs="宋体"/>
          <w:b/>
          <w:bCs/>
          <w:snapToGrid w:val="0"/>
          <w:color w:val="auto"/>
          <w:kern w:val="0"/>
          <w:sz w:val="24"/>
          <w:highlight w:val="none"/>
          <w:lang w:val="en-GB"/>
        </w:rPr>
      </w:pPr>
      <w:r>
        <w:rPr>
          <w:rFonts w:hint="eastAsia" w:ascii="宋体" w:hAnsi="宋体" w:eastAsia="宋体" w:cs="宋体"/>
          <w:b/>
          <w:bCs/>
          <w:snapToGrid w:val="0"/>
          <w:color w:val="auto"/>
          <w:kern w:val="0"/>
          <w:sz w:val="24"/>
          <w:highlight w:val="none"/>
          <w:lang w:val="en-GB"/>
        </w:rPr>
        <w:t>采购人保留终止招标的权利，并及时依法通知各</w:t>
      </w:r>
      <w:r>
        <w:rPr>
          <w:rFonts w:hint="eastAsia" w:ascii="宋体" w:hAnsi="宋体" w:cs="宋体"/>
          <w:b/>
          <w:bCs/>
          <w:snapToGrid w:val="0"/>
          <w:color w:val="auto"/>
          <w:kern w:val="0"/>
          <w:sz w:val="24"/>
          <w:highlight w:val="none"/>
          <w:lang w:val="en-GB" w:eastAsia="zh-CN"/>
        </w:rPr>
        <w:t>投标人</w:t>
      </w:r>
      <w:r>
        <w:rPr>
          <w:rFonts w:hint="eastAsia" w:ascii="宋体" w:hAnsi="宋体" w:eastAsia="宋体" w:cs="宋体"/>
          <w:b/>
          <w:bCs/>
          <w:snapToGrid w:val="0"/>
          <w:color w:val="auto"/>
          <w:kern w:val="0"/>
          <w:sz w:val="24"/>
          <w:highlight w:val="none"/>
          <w:lang w:val="en-GB"/>
        </w:rPr>
        <w:t>。</w:t>
      </w:r>
      <w:r>
        <w:rPr>
          <w:rFonts w:hint="eastAsia" w:ascii="宋体" w:hAnsi="宋体" w:eastAsia="宋体" w:cs="宋体"/>
          <w:b/>
          <w:bCs/>
          <w:snapToGrid w:val="0"/>
          <w:color w:val="auto"/>
          <w:kern w:val="0"/>
          <w:sz w:val="24"/>
          <w:highlight w:val="none"/>
          <w:lang w:val="en-GB"/>
        </w:rPr>
        <w:br w:type="page"/>
      </w:r>
    </w:p>
    <w:p>
      <w:pPr>
        <w:pStyle w:val="2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附件1：询问函格式</w:t>
      </w:r>
    </w:p>
    <w:p>
      <w:pPr>
        <w:pStyle w:val="27"/>
        <w:autoSpaceDE w:val="0"/>
        <w:autoSpaceDN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询问函</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广东杰信项目管理有限公司：</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我单位已按规定获取招标文件并准备参与</w:t>
      </w:r>
      <w:r>
        <w:rPr>
          <w:rFonts w:hint="eastAsia" w:ascii="宋体" w:hAnsi="宋体" w:cs="宋体"/>
          <w:color w:val="auto"/>
          <w:sz w:val="24"/>
          <w:szCs w:val="24"/>
          <w:highlight w:val="none"/>
          <w:u w:val="single"/>
          <w:lang w:eastAsia="zh-CN"/>
        </w:rPr>
        <w:t>佛山市三水区国睿再生资源回收有限公司国睿冷库基础设施配套项目（第二次）</w:t>
      </w:r>
      <w:r>
        <w:rPr>
          <w:rFonts w:hint="eastAsia" w:ascii="宋体" w:hAnsi="宋体" w:eastAsia="宋体" w:cs="宋体"/>
          <w:color w:val="auto"/>
          <w:sz w:val="24"/>
          <w:szCs w:val="24"/>
          <w:highlight w:val="none"/>
        </w:rPr>
        <w:t>（招标文件</w:t>
      </w: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编号：）的投标（或报价）活动，现有以下几个内容（或条款）存在疑问（或无法理解），特提出询问。</w:t>
      </w:r>
    </w:p>
    <w:p>
      <w:pPr>
        <w:pStyle w:val="2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（事项一）</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（问题或条款内容）</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（说明疑问或无法理解原因）</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（建议）</w:t>
      </w:r>
    </w:p>
    <w:p>
      <w:pPr>
        <w:pStyle w:val="2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（事项二）</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随附相关证明材料如下：（请提供目录）。</w:t>
      </w: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询问人：（公章）</w:t>
      </w:r>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bookmarkStart w:id="112" w:name="_Toc25769743"/>
      <w:bookmarkStart w:id="113" w:name="_Toc22806171"/>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p>
    <w:p>
      <w:pPr>
        <w:pStyle w:val="27"/>
        <w:autoSpaceDE w:val="0"/>
        <w:autoSpaceDN w:val="0"/>
        <w:spacing w:line="360" w:lineRule="auto"/>
        <w:ind w:firstLine="4320" w:firstLineChars="1800"/>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附件2：质疑函格式</w:t>
      </w:r>
      <w:bookmarkEnd w:id="112"/>
      <w:bookmarkEnd w:id="113"/>
    </w:p>
    <w:p>
      <w:pPr>
        <w:pStyle w:val="27"/>
        <w:autoSpaceDE w:val="0"/>
        <w:autoSpaceDN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pStyle w:val="2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一、质疑投标人基本信息</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质疑投标人：</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邮编：</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邮编：</w:t>
      </w:r>
      <w:r>
        <w:rPr>
          <w:rFonts w:hint="eastAsia" w:ascii="宋体" w:hAnsi="宋体" w:eastAsia="宋体" w:cs="宋体"/>
          <w:color w:val="auto"/>
          <w:sz w:val="24"/>
          <w:szCs w:val="24"/>
          <w:highlight w:val="none"/>
          <w:u w:val="single"/>
        </w:rPr>
        <w:t xml:space="preserve">               </w:t>
      </w:r>
    </w:p>
    <w:p>
      <w:pPr>
        <w:pStyle w:val="2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质疑项目的文件编号：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eastAsia="zh-CN"/>
        </w:rPr>
        <w:t>采购包</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招标文件获取日期：</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质疑环节：招标文件/开标过程/评审过程、中标或者成交结果/其他：</w:t>
      </w:r>
      <w:r>
        <w:rPr>
          <w:rFonts w:hint="eastAsia" w:ascii="宋体" w:hAnsi="宋体" w:eastAsia="宋体" w:cs="宋体"/>
          <w:color w:val="auto"/>
          <w:sz w:val="24"/>
          <w:szCs w:val="24"/>
          <w:highlight w:val="none"/>
          <w:u w:val="single"/>
        </w:rPr>
        <w:t>（请填写具体环节）</w:t>
      </w:r>
    </w:p>
    <w:p>
      <w:pPr>
        <w:pStyle w:val="2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三、质疑事项具体内容</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single"/>
        </w:rPr>
        <w:t xml:space="preserve">（质疑事项1标题或简要描述）                                      </w:t>
      </w:r>
    </w:p>
    <w:p>
      <w:pPr>
        <w:pStyle w:val="27"/>
        <w:autoSpaceDE w:val="0"/>
        <w:autoSpaceDN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r>
        <w:rPr>
          <w:rFonts w:hint="eastAsia" w:ascii="宋体" w:hAnsi="宋体" w:eastAsia="宋体" w:cs="宋体"/>
          <w:color w:val="auto"/>
          <w:sz w:val="24"/>
          <w:szCs w:val="24"/>
          <w:highlight w:val="none"/>
          <w:u w:val="single"/>
        </w:rPr>
        <w:t xml:space="preserve">（质疑事项1标题或简要描述）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2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四、与质疑事项相关的质疑请求</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代表（签字或盖章）：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（机构投标人）公章：</w:t>
      </w:r>
      <w:r>
        <w:rPr>
          <w:rFonts w:hint="eastAsia" w:ascii="宋体" w:hAnsi="宋体" w:eastAsia="宋体" w:cs="宋体"/>
          <w:color w:val="auto"/>
          <w:sz w:val="24"/>
          <w:szCs w:val="24"/>
          <w:highlight w:val="none"/>
          <w:u w:val="single"/>
        </w:rPr>
        <w:t xml:space="preserve">               </w:t>
      </w:r>
    </w:p>
    <w:p>
      <w:pPr>
        <w:pStyle w:val="27"/>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Style w:val="27"/>
        <w:autoSpaceDE w:val="0"/>
        <w:autoSpaceDN w:val="0"/>
        <w:spacing w:line="360" w:lineRule="auto"/>
        <w:rPr>
          <w:rFonts w:hint="eastAsia" w:ascii="宋体" w:hAnsi="宋体" w:eastAsia="宋体" w:cs="宋体"/>
          <w:color w:val="auto"/>
          <w:sz w:val="24"/>
          <w:szCs w:val="24"/>
          <w:highlight w:val="none"/>
        </w:rPr>
      </w:pPr>
    </w:p>
    <w:p>
      <w:pPr>
        <w:pStyle w:val="27"/>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1.投标人提出质疑时，应提交质疑函和必要的证明材料。</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投标人若委托代理人进行质疑的，质疑函应按要求列明“授权代表”的有关内容，并在附件中提交由质疑投标人签署的授权委托书。授权委托书应载明代理人的姓名或者名称、代理事项、具体权限、期限和相关事项。</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3.质疑投标人若对项目的某一包组进行质疑，质疑函中应列明具体</w:t>
      </w:r>
      <w:r>
        <w:rPr>
          <w:rFonts w:hint="eastAsia" w:ascii="宋体" w:hAnsi="宋体" w:cs="宋体"/>
          <w:color w:val="auto"/>
          <w:sz w:val="24"/>
          <w:szCs w:val="24"/>
          <w:highlight w:val="none"/>
          <w:lang w:eastAsia="zh-CN"/>
        </w:rPr>
        <w:t>采购包</w:t>
      </w:r>
      <w:r>
        <w:rPr>
          <w:rFonts w:hint="eastAsia" w:ascii="宋体" w:hAnsi="宋体" w:eastAsia="宋体" w:cs="宋体"/>
          <w:color w:val="auto"/>
          <w:sz w:val="24"/>
          <w:szCs w:val="24"/>
          <w:highlight w:val="none"/>
        </w:rPr>
        <w:t>。</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pPr>
        <w:pStyle w:val="27"/>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6.质疑投标人为自然人的，质疑函应由本人签字；质疑投标人为法人或者其他组织的，质疑函应由法定代表人、主要负责人，或者其授权代表签字或者盖章，并加盖公章。</w:t>
      </w: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rPr>
      </w:pPr>
    </w:p>
    <w:p>
      <w:pPr>
        <w:pStyle w:val="27"/>
        <w:spacing w:line="360" w:lineRule="auto"/>
        <w:rPr>
          <w:rFonts w:hint="eastAsia" w:ascii="宋体" w:hAnsi="宋体" w:eastAsia="宋体" w:cs="宋体"/>
          <w:color w:val="auto"/>
          <w:sz w:val="24"/>
          <w:szCs w:val="24"/>
          <w:highlight w:val="none"/>
          <w:lang w:val="en-GB"/>
        </w:rPr>
      </w:pPr>
    </w:p>
    <w:p>
      <w:pPr>
        <w:pStyle w:val="27"/>
        <w:spacing w:line="360" w:lineRule="auto"/>
        <w:rPr>
          <w:rFonts w:hint="eastAsia" w:ascii="宋体" w:hAnsi="宋体" w:eastAsia="宋体" w:cs="宋体"/>
          <w:color w:val="auto"/>
          <w:sz w:val="24"/>
          <w:szCs w:val="24"/>
          <w:highlight w:val="none"/>
          <w:lang w:val="en-GB"/>
        </w:rPr>
      </w:pPr>
    </w:p>
    <w:p>
      <w:pPr>
        <w:pStyle w:val="27"/>
        <w:spacing w:line="360" w:lineRule="auto"/>
        <w:rPr>
          <w:rFonts w:hint="eastAsia" w:ascii="宋体" w:hAnsi="宋体" w:eastAsia="宋体" w:cs="宋体"/>
          <w:color w:val="auto"/>
          <w:sz w:val="24"/>
          <w:szCs w:val="24"/>
          <w:highlight w:val="none"/>
          <w:lang w:val="en-GB"/>
        </w:rPr>
      </w:pPr>
    </w:p>
    <w:p>
      <w:pPr>
        <w:pStyle w:val="27"/>
        <w:spacing w:line="360" w:lineRule="auto"/>
        <w:rPr>
          <w:rFonts w:hint="eastAsia" w:ascii="宋体" w:hAnsi="宋体" w:eastAsia="宋体" w:cs="宋体"/>
          <w:color w:val="auto"/>
          <w:sz w:val="24"/>
          <w:szCs w:val="24"/>
          <w:highlight w:val="none"/>
          <w:lang w:val="en-GB"/>
        </w:rPr>
      </w:pPr>
    </w:p>
    <w:p>
      <w:pPr>
        <w:pStyle w:val="27"/>
        <w:spacing w:line="360" w:lineRule="auto"/>
        <w:rPr>
          <w:rFonts w:hint="eastAsia" w:ascii="宋体" w:hAnsi="宋体" w:eastAsia="宋体" w:cs="宋体"/>
          <w:color w:val="auto"/>
          <w:sz w:val="24"/>
          <w:szCs w:val="24"/>
          <w:highlight w:val="none"/>
          <w:lang w:val="en-GB"/>
        </w:rPr>
      </w:pPr>
    </w:p>
    <w:p>
      <w:pPr>
        <w:pStyle w:val="27"/>
        <w:spacing w:line="360" w:lineRule="auto"/>
        <w:rPr>
          <w:rFonts w:hint="eastAsia" w:ascii="宋体" w:hAnsi="宋体" w:eastAsia="宋体" w:cs="宋体"/>
          <w:color w:val="auto"/>
          <w:sz w:val="24"/>
          <w:szCs w:val="24"/>
          <w:highlight w:val="none"/>
          <w:lang w:val="en-GB"/>
        </w:rPr>
      </w:pPr>
    </w:p>
    <w:p>
      <w:pPr>
        <w:pStyle w:val="27"/>
        <w:spacing w:line="360" w:lineRule="auto"/>
        <w:rPr>
          <w:rFonts w:hint="eastAsia" w:ascii="宋体" w:hAnsi="宋体" w:eastAsia="宋体" w:cs="宋体"/>
          <w:color w:val="auto"/>
          <w:sz w:val="24"/>
          <w:szCs w:val="24"/>
          <w:highlight w:val="none"/>
          <w:lang w:val="en-GB"/>
        </w:rPr>
      </w:pPr>
    </w:p>
    <w:p>
      <w:pPr>
        <w:pStyle w:val="27"/>
        <w:spacing w:line="360" w:lineRule="auto"/>
        <w:rPr>
          <w:rFonts w:hint="eastAsia" w:ascii="宋体" w:hAnsi="宋体" w:eastAsia="宋体" w:cs="宋体"/>
          <w:color w:val="auto"/>
          <w:sz w:val="24"/>
          <w:szCs w:val="24"/>
          <w:highlight w:val="none"/>
          <w:lang w:val="en-GB"/>
        </w:rPr>
      </w:pPr>
    </w:p>
    <w:p>
      <w:pPr>
        <w:pStyle w:val="27"/>
        <w:spacing w:line="360" w:lineRule="auto"/>
        <w:rPr>
          <w:rFonts w:hint="eastAsia" w:ascii="宋体" w:hAnsi="宋体" w:eastAsia="宋体" w:cs="宋体"/>
          <w:color w:val="auto"/>
          <w:sz w:val="24"/>
          <w:szCs w:val="24"/>
          <w:highlight w:val="none"/>
          <w:lang w:val="en-GB"/>
        </w:rPr>
      </w:pPr>
    </w:p>
    <w:p>
      <w:pPr>
        <w:shd w:val="clear" w:color="auto" w:fill="auto"/>
        <w:tabs>
          <w:tab w:val="left" w:pos="540"/>
        </w:tabs>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snapToGrid w:val="0"/>
          <w:color w:val="auto"/>
          <w:kern w:val="0"/>
          <w:sz w:val="24"/>
          <w:szCs w:val="24"/>
          <w:highlight w:val="none"/>
          <w:lang w:val="en-GB"/>
        </w:rPr>
        <w:br w:type="page"/>
      </w:r>
      <w:bookmarkStart w:id="114" w:name="_Toc28965"/>
      <w:bookmarkStart w:id="115" w:name="_Toc25122"/>
      <w:bookmarkStart w:id="116" w:name="_Toc9592"/>
      <w:bookmarkStart w:id="117" w:name="_Toc305942058"/>
      <w:r>
        <w:rPr>
          <w:rFonts w:hint="eastAsia" w:ascii="宋体" w:hAnsi="宋体" w:eastAsia="宋体" w:cs="宋体"/>
          <w:b/>
          <w:color w:val="auto"/>
          <w:kern w:val="0"/>
          <w:sz w:val="36"/>
          <w:szCs w:val="36"/>
          <w:highlight w:val="none"/>
        </w:rPr>
        <w:t>第四部分  评审办法及标准</w:t>
      </w:r>
      <w:bookmarkEnd w:id="114"/>
      <w:bookmarkEnd w:id="115"/>
      <w:bookmarkEnd w:id="116"/>
    </w:p>
    <w:p>
      <w:pPr>
        <w:shd w:val="clear" w:color="auto" w:fill="auto"/>
        <w:spacing w:after="93" w:afterLines="30" w:line="336" w:lineRule="auto"/>
        <w:ind w:right="-178" w:rightChars="-85"/>
        <w:jc w:val="center"/>
        <w:outlineLvl w:val="1"/>
        <w:rPr>
          <w:rFonts w:hint="eastAsia" w:ascii="宋体" w:hAnsi="宋体" w:eastAsia="宋体" w:cs="宋体"/>
          <w:b/>
          <w:color w:val="auto"/>
          <w:kern w:val="0"/>
          <w:sz w:val="32"/>
          <w:szCs w:val="32"/>
          <w:highlight w:val="none"/>
          <w:lang w:val="en-GB"/>
        </w:rPr>
      </w:pPr>
      <w:bookmarkStart w:id="118" w:name="_Toc6059"/>
      <w:r>
        <w:rPr>
          <w:rFonts w:hint="eastAsia" w:ascii="宋体" w:hAnsi="宋体" w:eastAsia="宋体" w:cs="宋体"/>
          <w:b/>
          <w:color w:val="auto"/>
          <w:kern w:val="0"/>
          <w:sz w:val="32"/>
          <w:szCs w:val="32"/>
          <w:highlight w:val="none"/>
          <w:lang w:val="en-GB"/>
        </w:rPr>
        <w:t>一、评审办法及标准前附表</w:t>
      </w:r>
      <w:bookmarkEnd w:id="118"/>
    </w:p>
    <w:p>
      <w:pPr>
        <w:shd w:val="clear" w:color="auto" w:fill="auto"/>
        <w:spacing w:after="0" w:afterLines="-2147483648" w:line="360" w:lineRule="auto"/>
        <w:ind w:right="0" w:rightChars="0"/>
        <w:jc w:val="both"/>
        <w:outlineLvl w:val="9"/>
        <w:rPr>
          <w:rFonts w:hint="eastAsia" w:ascii="宋体" w:hAnsi="宋体" w:eastAsia="宋体" w:cs="宋体"/>
          <w:b/>
          <w:bCs/>
          <w:kern w:val="0"/>
          <w:sz w:val="28"/>
          <w:szCs w:val="28"/>
          <w:highlight w:val="none"/>
        </w:rPr>
      </w:pPr>
      <w:r>
        <w:rPr>
          <w:rFonts w:hint="eastAsia" w:ascii="宋体" w:hAnsi="宋体" w:cs="宋体"/>
          <w:b/>
          <w:bCs/>
          <w:color w:val="auto"/>
          <w:kern w:val="2"/>
          <w:sz w:val="24"/>
          <w:szCs w:val="24"/>
          <w:highlight w:val="none"/>
          <w:lang w:val="en-US" w:eastAsia="zh-CN"/>
        </w:rPr>
        <w:t>采购包1（</w:t>
      </w:r>
      <w:r>
        <w:rPr>
          <w:rFonts w:hint="eastAsia" w:ascii="宋体" w:hAnsi="宋体" w:cs="宋体"/>
          <w:b/>
          <w:bCs/>
          <w:color w:val="auto"/>
          <w:kern w:val="2"/>
          <w:sz w:val="24"/>
          <w:szCs w:val="24"/>
          <w:highlight w:val="none"/>
          <w:lang w:eastAsia="zh-CN"/>
        </w:rPr>
        <w:t>佛山市三水区国睿再生资源回收有限公司国睿公司冷库托盘采购项目</w:t>
      </w:r>
      <w:r>
        <w:rPr>
          <w:rFonts w:hint="eastAsia" w:ascii="宋体" w:hAnsi="宋体" w:cs="宋体"/>
          <w:b/>
          <w:bCs/>
          <w:color w:val="auto"/>
          <w:kern w:val="2"/>
          <w:sz w:val="24"/>
          <w:szCs w:val="24"/>
          <w:highlight w:val="none"/>
          <w:lang w:val="en-US" w:eastAsia="zh-CN"/>
        </w:rPr>
        <w:t>）</w:t>
      </w:r>
    </w:p>
    <w:p>
      <w:pPr>
        <w:pStyle w:val="118"/>
        <w:shd w:val="clear" w:color="auto" w:fill="auto"/>
        <w:spacing w:line="360" w:lineRule="auto"/>
        <w:rPr>
          <w:rFonts w:hint="eastAsia" w:ascii="宋体" w:hAnsi="宋体" w:eastAsia="宋体" w:cs="宋体"/>
          <w:b/>
          <w:color w:val="auto"/>
          <w:spacing w:val="0"/>
          <w:highlight w:val="none"/>
        </w:rPr>
      </w:pPr>
      <w:r>
        <w:rPr>
          <w:rFonts w:hint="eastAsia" w:ascii="宋体" w:hAnsi="宋体" w:eastAsia="宋体" w:cs="宋体"/>
          <w:b/>
          <w:color w:val="auto"/>
          <w:spacing w:val="0"/>
          <w:highlight w:val="none"/>
        </w:rPr>
        <w:t>1、资格评审标准：</w:t>
      </w:r>
    </w:p>
    <w:tbl>
      <w:tblPr>
        <w:tblStyle w:val="54"/>
        <w:tblW w:w="9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850"/>
        <w:gridCol w:w="1910"/>
        <w:gridCol w:w="5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1283" w:type="dxa"/>
            <w:shd w:val="clear" w:color="auto" w:fill="EEECE1"/>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评审内容</w:t>
            </w:r>
          </w:p>
        </w:tc>
        <w:tc>
          <w:tcPr>
            <w:tcW w:w="850" w:type="dxa"/>
            <w:shd w:val="clear" w:color="auto" w:fill="EEECE1"/>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1910" w:type="dxa"/>
            <w:shd w:val="clear" w:color="auto" w:fill="EEECE1"/>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评审因素</w:t>
            </w:r>
          </w:p>
        </w:tc>
        <w:tc>
          <w:tcPr>
            <w:tcW w:w="5388" w:type="dxa"/>
            <w:shd w:val="clear" w:color="auto" w:fill="EEECE1"/>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3" w:type="dxa"/>
            <w:vMerge w:val="restart"/>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资格审查</w:t>
            </w:r>
          </w:p>
        </w:tc>
        <w:tc>
          <w:tcPr>
            <w:tcW w:w="850" w:type="dxa"/>
            <w:noWrap w:val="0"/>
            <w:vAlign w:val="center"/>
          </w:tcPr>
          <w:p>
            <w:pPr>
              <w:keepNext w:val="0"/>
              <w:keepLines w:val="0"/>
              <w:pageBreakBefore w:val="0"/>
              <w:widowControl w:val="0"/>
              <w:numPr>
                <w:ilvl w:val="0"/>
                <w:numId w:val="58"/>
              </w:numPr>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1910"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color="auto" w:fill="FFFFFF"/>
              </w:rPr>
              <w:t>具有独立承担民事责任的能力</w:t>
            </w:r>
          </w:p>
        </w:tc>
        <w:tc>
          <w:tcPr>
            <w:tcW w:w="5388"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highlight w:val="none"/>
                <w:shd w:val="clear" w:color="auto" w:fill="FFFFFF"/>
              </w:rPr>
              <w:t>具有独立承担民事责任的能力（在中华人民共和国境内注册的单位提供营业执照或事业法人登记证或社会团体法人登记证书</w:t>
            </w:r>
            <w:r>
              <w:rPr>
                <w:rFonts w:hint="eastAsia" w:ascii="宋体" w:hAnsi="宋体" w:cs="宋体"/>
                <w:color w:val="auto"/>
                <w:sz w:val="24"/>
                <w:highlight w:val="none"/>
                <w:shd w:val="clear" w:color="auto" w:fill="FFFFFF"/>
                <w:lang w:eastAsia="zh-CN"/>
              </w:rPr>
              <w:t>）</w:t>
            </w:r>
            <w:r>
              <w:rPr>
                <w:rFonts w:hint="eastAsia" w:ascii="宋体" w:hAnsi="宋体" w:cs="宋体"/>
                <w:i w:val="0"/>
                <w:iCs w:val="0"/>
                <w:caps w:val="0"/>
                <w:color w:val="auto"/>
                <w:spacing w:val="0"/>
                <w:sz w:val="24"/>
                <w:szCs w:val="24"/>
                <w:highlight w:val="none"/>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trPr>
        <w:tc>
          <w:tcPr>
            <w:tcW w:w="1283" w:type="dxa"/>
            <w:vMerge w:val="continue"/>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850" w:type="dxa"/>
            <w:noWrap w:val="0"/>
            <w:vAlign w:val="center"/>
          </w:tcPr>
          <w:p>
            <w:pPr>
              <w:keepNext w:val="0"/>
              <w:keepLines w:val="0"/>
              <w:pageBreakBefore w:val="0"/>
              <w:widowControl w:val="0"/>
              <w:numPr>
                <w:ilvl w:val="0"/>
                <w:numId w:val="58"/>
              </w:numPr>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1910"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color="auto" w:fill="FFFFFF"/>
              </w:rPr>
              <w:t>具有良好的商业信誉和健全的财务会计制度</w:t>
            </w:r>
          </w:p>
        </w:tc>
        <w:tc>
          <w:tcPr>
            <w:tcW w:w="5388" w:type="dxa"/>
            <w:noWrap w:val="0"/>
            <w:vAlign w:val="center"/>
          </w:tcPr>
          <w:p>
            <w:pPr>
              <w:numPr>
                <w:ilvl w:val="0"/>
                <w:numId w:val="0"/>
              </w:numPr>
              <w:shd w:val="clear" w:color="auto" w:fill="auto"/>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highlight w:val="none"/>
                <w:shd w:val="clear" w:color="auto" w:fill="FFFFFF"/>
                <w:lang w:eastAsia="zh-CN"/>
              </w:rPr>
              <w:t>提供2022年度或2023年度的财务状况报告，如为2024年新成立的公司，应提供成立至投标文件递交截止时间止任意一个月的公司财务状况报告，或提供银行出具的资信证明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83" w:type="dxa"/>
            <w:vMerge w:val="continue"/>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850" w:type="dxa"/>
            <w:noWrap w:val="0"/>
            <w:vAlign w:val="center"/>
          </w:tcPr>
          <w:p>
            <w:pPr>
              <w:keepNext w:val="0"/>
              <w:keepLines w:val="0"/>
              <w:pageBreakBefore w:val="0"/>
              <w:widowControl w:val="0"/>
              <w:numPr>
                <w:ilvl w:val="0"/>
                <w:numId w:val="58"/>
              </w:numPr>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1910"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依法缴纳税收和社会保障资金的良好记录</w:t>
            </w:r>
          </w:p>
        </w:tc>
        <w:tc>
          <w:tcPr>
            <w:tcW w:w="5388" w:type="dxa"/>
            <w:noWrap w:val="0"/>
            <w:vAlign w:val="center"/>
          </w:tcPr>
          <w:p>
            <w:pPr>
              <w:keepNext w:val="0"/>
              <w:keepLines w:val="0"/>
              <w:pageBreakBefore w:val="0"/>
              <w:widowControl w:val="0"/>
              <w:shd w:val="clear" w:color="auto" w:fill="auto"/>
              <w:tabs>
                <w:tab w:val="left" w:pos="540"/>
              </w:tabs>
              <w:kinsoku/>
              <w:wordWrap/>
              <w:overflowPunct/>
              <w:topLinePunct w:val="0"/>
              <w:bidi w:val="0"/>
              <w:adjustRightInd/>
              <w:snapToGrid/>
              <w:spacing w:line="360" w:lineRule="auto"/>
              <w:textAlignment w:val="auto"/>
              <w:rPr>
                <w:rFonts w:hint="eastAsia" w:ascii="宋体" w:hAnsi="宋体" w:eastAsia="宋体" w:cs="宋体"/>
                <w:color w:val="auto"/>
                <w:kern w:val="0"/>
                <w:sz w:val="24"/>
                <w:szCs w:val="24"/>
                <w:highlight w:val="none"/>
              </w:rPr>
            </w:pPr>
            <w:r>
              <w:rPr>
                <w:rFonts w:hint="eastAsia" w:ascii="宋体" w:hAnsi="宋体" w:cs="宋体"/>
                <w:color w:val="auto"/>
                <w:sz w:val="24"/>
                <w:highlight w:val="none"/>
                <w:shd w:val="clear" w:color="auto" w:fill="FFFFFF"/>
                <w:lang w:eastAsia="zh-CN"/>
              </w:rPr>
              <w:t>提供扣除投标邀请书发出当月往前顺推6个月内任意一个月依法缴纳税收和社会保障资金的相关材料。如依法免税或不需要缴纳社会保障资金的，提供相应证明材料</w:t>
            </w:r>
            <w:r>
              <w:rPr>
                <w:rFonts w:hint="eastAsia" w:ascii="宋体" w:hAnsi="宋体" w:eastAsia="宋体" w:cs="宋体"/>
                <w:color w:val="auto"/>
                <w:sz w:val="24"/>
                <w:highlight w:val="none"/>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83" w:type="dxa"/>
            <w:vMerge w:val="continue"/>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850" w:type="dxa"/>
            <w:noWrap w:val="0"/>
            <w:vAlign w:val="center"/>
          </w:tcPr>
          <w:p>
            <w:pPr>
              <w:keepNext w:val="0"/>
              <w:keepLines w:val="0"/>
              <w:pageBreakBefore w:val="0"/>
              <w:widowControl w:val="0"/>
              <w:numPr>
                <w:ilvl w:val="0"/>
                <w:numId w:val="58"/>
              </w:numPr>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1910"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履行合同所必需的设备和专业技术能力</w:t>
            </w:r>
          </w:p>
        </w:tc>
        <w:tc>
          <w:tcPr>
            <w:tcW w:w="5388" w:type="dxa"/>
            <w:noWrap w:val="0"/>
            <w:vAlign w:val="center"/>
          </w:tcPr>
          <w:p>
            <w:pPr>
              <w:keepNext w:val="0"/>
              <w:keepLines w:val="0"/>
              <w:pageBreakBefore w:val="0"/>
              <w:widowControl w:val="0"/>
              <w:shd w:val="clear" w:color="auto" w:fill="auto"/>
              <w:tabs>
                <w:tab w:val="left" w:pos="540"/>
              </w:tabs>
              <w:kinsoku/>
              <w:wordWrap/>
              <w:overflowPunct/>
              <w:topLinePunct w:val="0"/>
              <w:bidi w:val="0"/>
              <w:adjustRightInd/>
              <w:snapToGrid/>
              <w:spacing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按投标文件格式填报设备及专业技术能力情况。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83" w:type="dxa"/>
            <w:vMerge w:val="continue"/>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850" w:type="dxa"/>
            <w:noWrap w:val="0"/>
            <w:vAlign w:val="center"/>
          </w:tcPr>
          <w:p>
            <w:pPr>
              <w:keepNext w:val="0"/>
              <w:keepLines w:val="0"/>
              <w:pageBreakBefore w:val="0"/>
              <w:widowControl w:val="0"/>
              <w:numPr>
                <w:ilvl w:val="0"/>
                <w:numId w:val="58"/>
              </w:numPr>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1910"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shd w:val="clear" w:color="auto" w:fill="FFFFFF"/>
              </w:rPr>
              <w:t>参加政府采购活动前三年内，在经营活动中没有重大违法记录</w:t>
            </w:r>
          </w:p>
        </w:tc>
        <w:tc>
          <w:tcPr>
            <w:tcW w:w="5388" w:type="dxa"/>
            <w:noWrap w:val="0"/>
            <w:vAlign w:val="center"/>
          </w:tcPr>
          <w:p>
            <w:pPr>
              <w:keepNext w:val="0"/>
              <w:keepLines w:val="0"/>
              <w:pageBreakBefore w:val="0"/>
              <w:widowControl w:val="0"/>
              <w:shd w:val="clear" w:color="auto" w:fill="auto"/>
              <w:tabs>
                <w:tab w:val="left" w:pos="54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rPr>
              <w:t>提供《</w:t>
            </w:r>
            <w:r>
              <w:rPr>
                <w:rFonts w:hint="eastAsia" w:ascii="宋体" w:hAnsi="宋体" w:eastAsia="宋体" w:cs="宋体"/>
                <w:color w:val="auto"/>
                <w:sz w:val="24"/>
                <w:highlight w:val="none"/>
                <w:shd w:val="clear" w:color="auto" w:fill="FFFFFF"/>
              </w:rPr>
              <w:t>投标人资格声明函</w:t>
            </w:r>
            <w:r>
              <w:rPr>
                <w:rFonts w:hint="eastAsia" w:ascii="宋体" w:hAnsi="宋体" w:eastAsia="宋体" w:cs="宋体"/>
                <w:i w:val="0"/>
                <w:iCs w:val="0"/>
                <w:caps w:val="0"/>
                <w:color w:val="auto"/>
                <w:spacing w:val="0"/>
                <w:sz w:val="24"/>
                <w:szCs w:val="24"/>
                <w:highlight w:val="none"/>
                <w:shd w:val="clear" w:color="auto" w:fill="FFFFFF"/>
              </w:rPr>
              <w:t>》。 重大违法记录，是指</w:t>
            </w:r>
            <w:r>
              <w:rPr>
                <w:rFonts w:hint="eastAsia" w:ascii="宋体" w:hAnsi="宋体" w:cs="宋体"/>
                <w:i w:val="0"/>
                <w:iCs w:val="0"/>
                <w:caps w:val="0"/>
                <w:color w:val="auto"/>
                <w:spacing w:val="0"/>
                <w:sz w:val="24"/>
                <w:szCs w:val="24"/>
                <w:highlight w:val="none"/>
                <w:shd w:val="clear" w:color="auto" w:fill="FFFFFF"/>
                <w:lang w:val="en-US" w:eastAsia="zh-CN"/>
              </w:rPr>
              <w:t>投标人</w:t>
            </w:r>
            <w:r>
              <w:rPr>
                <w:rFonts w:hint="eastAsia" w:ascii="宋体" w:hAnsi="宋体" w:eastAsia="宋体" w:cs="宋体"/>
                <w:i w:val="0"/>
                <w:iCs w:val="0"/>
                <w:caps w:val="0"/>
                <w:color w:val="auto"/>
                <w:spacing w:val="0"/>
                <w:sz w:val="24"/>
                <w:szCs w:val="24"/>
                <w:highlight w:val="none"/>
                <w:shd w:val="clear" w:color="auto" w:fill="FFFFFF"/>
              </w:rPr>
              <w:t>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eastAsia="宋体" w:cs="宋体"/>
                <w:i w:val="0"/>
                <w:iCs w:val="0"/>
                <w:caps w:val="0"/>
                <w:color w:val="auto"/>
                <w:spacing w:val="0"/>
                <w:sz w:val="24"/>
                <w:szCs w:val="24"/>
                <w:highlight w:val="none"/>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83" w:type="dxa"/>
            <w:vMerge w:val="continue"/>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850" w:type="dxa"/>
            <w:noWrap w:val="0"/>
            <w:vAlign w:val="center"/>
          </w:tcPr>
          <w:p>
            <w:pPr>
              <w:keepNext w:val="0"/>
              <w:keepLines w:val="0"/>
              <w:pageBreakBefore w:val="0"/>
              <w:widowControl w:val="0"/>
              <w:numPr>
                <w:ilvl w:val="0"/>
                <w:numId w:val="58"/>
              </w:numPr>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1910"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信用记录</w:t>
            </w:r>
          </w:p>
        </w:tc>
        <w:tc>
          <w:tcPr>
            <w:tcW w:w="5388" w:type="dxa"/>
            <w:noWrap w:val="0"/>
            <w:vAlign w:val="center"/>
          </w:tcPr>
          <w:p>
            <w:pPr>
              <w:keepNext w:val="0"/>
              <w:keepLines w:val="0"/>
              <w:pageBreakBefore w:val="0"/>
              <w:widowControl w:val="0"/>
              <w:shd w:val="clear" w:color="auto" w:fill="auto"/>
              <w:tabs>
                <w:tab w:val="left" w:pos="540"/>
              </w:tabs>
              <w:kinsoku/>
              <w:wordWrap/>
              <w:overflowPunct/>
              <w:topLinePunct w:val="0"/>
              <w:bidi w:val="0"/>
              <w:adjustRightInd/>
              <w:snapToGrid/>
              <w:spacing w:line="360" w:lineRule="auto"/>
              <w:ind w:left="59" w:leftChars="28"/>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lang w:eastAsia="zh-CN"/>
              </w:rPr>
              <w:t>投标人未被列入“信用中国”网站(www.creditchina.gov.cn)以下任何记录名单之 一：①失信被执行人；②重大税收违法失信主体；③政府采购严重违法失信行为。同时，不处于中国政府采购网(www.cc gp.gov.cn)“政府采购严重违法失信行为信息记录”中的禁止参加政府采购活动期间 。（说明：①由评标委员会于投标截止日在“信用中国”网站（www.creditchina.gov. cn）及中国政府采购网(www.ccgp.gov.cn)查询结果为准，如在上述网站查询结果均显示没有相关记录，视为不存在上述不良信用记录。②同时对信用信息查询记录和证据截图或下载存档。如相关失信记录已失效，投标人须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83" w:type="dxa"/>
            <w:vMerge w:val="continue"/>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850" w:type="dxa"/>
            <w:noWrap w:val="0"/>
            <w:vAlign w:val="center"/>
          </w:tcPr>
          <w:p>
            <w:pPr>
              <w:keepNext w:val="0"/>
              <w:keepLines w:val="0"/>
              <w:pageBreakBefore w:val="0"/>
              <w:widowControl w:val="0"/>
              <w:numPr>
                <w:ilvl w:val="0"/>
                <w:numId w:val="58"/>
              </w:numPr>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1910" w:type="dxa"/>
            <w:noWrap w:val="0"/>
            <w:vAlign w:val="center"/>
          </w:tcPr>
          <w:p>
            <w:pPr>
              <w:keepNext w:val="0"/>
              <w:keepLines w:val="0"/>
              <w:pageBreakBefore w:val="0"/>
              <w:widowControl w:val="0"/>
              <w:numPr>
                <w:ilvl w:val="0"/>
                <w:numId w:val="0"/>
              </w:numPr>
              <w:shd w:val="clear" w:color="auto" w:fill="auto"/>
              <w:kinsoku/>
              <w:wordWrap/>
              <w:overflowPunct/>
              <w:topLinePunct w:val="0"/>
              <w:bidi w:val="0"/>
              <w:adjustRightInd/>
              <w:snapToGrid/>
              <w:spacing w:beforeLines="0" w:afterLines="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投标人必须符合法律、行政法规规定的其他条件</w:t>
            </w:r>
          </w:p>
        </w:tc>
        <w:tc>
          <w:tcPr>
            <w:tcW w:w="5388" w:type="dxa"/>
            <w:noWrap w:val="0"/>
            <w:vAlign w:val="center"/>
          </w:tcPr>
          <w:p>
            <w:pPr>
              <w:pStyle w:val="251"/>
              <w:shd w:val="clear" w:color="auto" w:fill="auto"/>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单位负责人为同一人或者存在直接控股、管理关系的不同投标人，不得参加同一合同项下的政府采购活动。</w:t>
            </w:r>
            <w:r>
              <w:rPr>
                <w:rFonts w:hint="eastAsia" w:ascii="宋体" w:hAnsi="宋体" w:eastAsia="宋体" w:cs="宋体"/>
                <w:i w:val="0"/>
                <w:iCs w:val="0"/>
                <w:caps w:val="0"/>
                <w:color w:val="auto"/>
                <w:spacing w:val="0"/>
                <w:sz w:val="24"/>
                <w:szCs w:val="24"/>
                <w:highlight w:val="none"/>
                <w:shd w:val="clear" w:color="auto" w:fill="FFFFFF"/>
              </w:rPr>
              <w:t>为本项目提供整体设计、规范编制或者</w:t>
            </w:r>
            <w:r>
              <w:rPr>
                <w:rFonts w:hint="eastAsia" w:ascii="宋体" w:hAnsi="宋体" w:eastAsia="宋体" w:cs="宋体"/>
                <w:i w:val="0"/>
                <w:iCs w:val="0"/>
                <w:caps w:val="0"/>
                <w:color w:val="auto"/>
                <w:spacing w:val="0"/>
                <w:sz w:val="24"/>
                <w:szCs w:val="24"/>
                <w:highlight w:val="none"/>
                <w:shd w:val="clear" w:color="auto" w:fill="FFFFFF"/>
                <w:lang w:eastAsia="zh-CN"/>
              </w:rPr>
              <w:t>项目管理</w:t>
            </w:r>
            <w:r>
              <w:rPr>
                <w:rFonts w:hint="eastAsia" w:ascii="宋体" w:hAnsi="宋体" w:eastAsia="宋体" w:cs="宋体"/>
                <w:i w:val="0"/>
                <w:iCs w:val="0"/>
                <w:caps w:val="0"/>
                <w:color w:val="auto"/>
                <w:spacing w:val="0"/>
                <w:sz w:val="24"/>
                <w:szCs w:val="24"/>
                <w:highlight w:val="none"/>
                <w:shd w:val="clear" w:color="auto" w:fill="FFFFFF"/>
              </w:rPr>
              <w:t>、监理、检测等服务的</w:t>
            </w:r>
            <w:r>
              <w:rPr>
                <w:rFonts w:hint="eastAsia" w:ascii="宋体" w:hAnsi="宋体" w:eastAsia="宋体" w:cs="宋体"/>
                <w:i w:val="0"/>
                <w:iCs w:val="0"/>
                <w:caps w:val="0"/>
                <w:color w:val="auto"/>
                <w:spacing w:val="0"/>
                <w:sz w:val="24"/>
                <w:szCs w:val="24"/>
                <w:highlight w:val="none"/>
                <w:shd w:val="clear" w:color="auto" w:fill="FFFFFF"/>
                <w:lang w:eastAsia="zh-CN"/>
              </w:rPr>
              <w:t>投标人</w:t>
            </w:r>
            <w:r>
              <w:rPr>
                <w:rFonts w:hint="eastAsia" w:ascii="宋体" w:hAnsi="宋体" w:eastAsia="宋体" w:cs="宋体"/>
                <w:i w:val="0"/>
                <w:iCs w:val="0"/>
                <w:caps w:val="0"/>
                <w:color w:val="auto"/>
                <w:spacing w:val="0"/>
                <w:sz w:val="24"/>
                <w:szCs w:val="24"/>
                <w:highlight w:val="none"/>
                <w:shd w:val="clear" w:color="auto" w:fill="FFFFFF"/>
              </w:rPr>
              <w:t>，不得再参与本项目投标。投标人须提供《</w:t>
            </w:r>
            <w:r>
              <w:rPr>
                <w:rFonts w:hint="eastAsia" w:ascii="宋体" w:hAnsi="宋体" w:eastAsia="宋体" w:cs="宋体"/>
                <w:color w:val="auto"/>
                <w:sz w:val="24"/>
                <w:szCs w:val="24"/>
                <w:highlight w:val="none"/>
                <w:shd w:val="clear" w:color="auto" w:fill="FFFFFF"/>
              </w:rPr>
              <w:t>投标人资格声明函</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eastAsia="宋体" w:cs="宋体"/>
                <w:i w:val="0"/>
                <w:iCs w:val="0"/>
                <w:caps w:val="0"/>
                <w:color w:val="auto"/>
                <w:spacing w:val="0"/>
                <w:sz w:val="24"/>
                <w:szCs w:val="24"/>
                <w:highlight w:val="none"/>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83" w:type="dxa"/>
            <w:vMerge w:val="continue"/>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850" w:type="dxa"/>
            <w:noWrap w:val="0"/>
            <w:vAlign w:val="center"/>
          </w:tcPr>
          <w:p>
            <w:pPr>
              <w:keepNext w:val="0"/>
              <w:keepLines w:val="0"/>
              <w:pageBreakBefore w:val="0"/>
              <w:widowControl w:val="0"/>
              <w:numPr>
                <w:ilvl w:val="0"/>
                <w:numId w:val="58"/>
              </w:numPr>
              <w:shd w:val="clear" w:color="auto" w:fill="auto"/>
              <w:kinsoku/>
              <w:wordWrap/>
              <w:overflowPunct/>
              <w:topLinePunct w:val="0"/>
              <w:bidi w:val="0"/>
              <w:adjustRightInd/>
              <w:snapToGrid/>
              <w:spacing w:line="360" w:lineRule="auto"/>
              <w:jc w:val="center"/>
              <w:textAlignment w:val="auto"/>
              <w:rPr>
                <w:rFonts w:hint="eastAsia" w:ascii="宋体" w:hAnsi="宋体" w:eastAsia="宋体" w:cs="宋体"/>
                <w:color w:val="auto"/>
                <w:kern w:val="0"/>
                <w:sz w:val="24"/>
                <w:szCs w:val="24"/>
                <w:highlight w:val="none"/>
              </w:rPr>
            </w:pPr>
          </w:p>
        </w:tc>
        <w:tc>
          <w:tcPr>
            <w:tcW w:w="1910"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本项目不接受联合体参与投标</w:t>
            </w:r>
          </w:p>
        </w:tc>
        <w:tc>
          <w:tcPr>
            <w:tcW w:w="5388" w:type="dxa"/>
            <w:noWrap w:val="0"/>
            <w:vAlign w:val="center"/>
          </w:tcPr>
          <w:p>
            <w:pPr>
              <w:keepNext w:val="0"/>
              <w:keepLines w:val="0"/>
              <w:pageBreakBefore w:val="0"/>
              <w:widowControl w:val="0"/>
              <w:shd w:val="clear" w:color="auto" w:fill="auto"/>
              <w:tabs>
                <w:tab w:val="left" w:pos="540"/>
              </w:tabs>
              <w:kinsoku/>
              <w:wordWrap/>
              <w:overflowPunct/>
              <w:topLinePunct w:val="0"/>
              <w:bidi w:val="0"/>
              <w:adjustRightInd/>
              <w:snapToGrid/>
              <w:spacing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不接受联合体参与投标</w:t>
            </w:r>
            <w:r>
              <w:rPr>
                <w:rFonts w:hint="eastAsia" w:ascii="宋体" w:hAnsi="宋体" w:eastAsia="宋体" w:cs="宋体"/>
                <w:color w:val="auto"/>
                <w:kern w:val="0"/>
                <w:sz w:val="24"/>
                <w:szCs w:val="24"/>
                <w:highlight w:val="none"/>
                <w:lang w:eastAsia="zh-CN"/>
              </w:rPr>
              <w:t>。</w:t>
            </w:r>
          </w:p>
        </w:tc>
      </w:tr>
    </w:tbl>
    <w:p>
      <w:pPr>
        <w:shd w:val="clear" w:color="auto" w:fill="auto"/>
        <w:snapToGrid w:val="0"/>
        <w:spacing w:before="156" w:beforeLines="50" w:line="360" w:lineRule="auto"/>
        <w:ind w:right="-178" w:rightChars="-85"/>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备注说明：</w:t>
      </w:r>
      <w:r>
        <w:rPr>
          <w:rFonts w:hint="eastAsia" w:ascii="宋体" w:hAnsi="宋体" w:eastAsia="宋体" w:cs="宋体"/>
          <w:color w:val="auto"/>
          <w:kern w:val="0"/>
          <w:sz w:val="24"/>
          <w:szCs w:val="24"/>
          <w:highlight w:val="none"/>
          <w:lang w:val="en-GB"/>
        </w:rPr>
        <w:t>上述资格评审工作，于开标结束后，由采购人或者采购代理机构依法进行审查。审查不合格的投标文件，将视为无效投标，不再经评标委员会确认，亦不进入评标程序。合格</w:t>
      </w:r>
      <w:r>
        <w:rPr>
          <w:rFonts w:hint="eastAsia" w:ascii="宋体" w:hAnsi="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不足3家的，不得评标。</w:t>
      </w:r>
    </w:p>
    <w:p>
      <w:pPr>
        <w:rPr>
          <w:rFonts w:hint="eastAsia" w:ascii="宋体" w:hAnsi="宋体" w:eastAsia="宋体" w:cs="宋体"/>
          <w:b/>
          <w:color w:val="auto"/>
          <w:kern w:val="0"/>
          <w:sz w:val="24"/>
          <w:szCs w:val="28"/>
          <w:highlight w:val="none"/>
          <w:lang w:val="en-GB"/>
        </w:rPr>
      </w:pPr>
    </w:p>
    <w:p>
      <w:pPr>
        <w:pStyle w:val="71"/>
        <w:rPr>
          <w:rFonts w:hint="eastAsia" w:ascii="宋体" w:hAnsi="宋体" w:eastAsia="宋体" w:cs="宋体"/>
          <w:b/>
          <w:color w:val="auto"/>
          <w:kern w:val="0"/>
          <w:sz w:val="24"/>
          <w:szCs w:val="28"/>
          <w:highlight w:val="none"/>
          <w:lang w:val="en-GB"/>
        </w:rPr>
      </w:pPr>
    </w:p>
    <w:p>
      <w:pPr>
        <w:pStyle w:val="71"/>
        <w:rPr>
          <w:rFonts w:hint="eastAsia" w:ascii="宋体" w:hAnsi="宋体" w:eastAsia="宋体" w:cs="宋体"/>
          <w:b/>
          <w:color w:val="auto"/>
          <w:kern w:val="0"/>
          <w:sz w:val="24"/>
          <w:szCs w:val="28"/>
          <w:highlight w:val="none"/>
          <w:lang w:val="en-GB"/>
        </w:rPr>
      </w:pPr>
    </w:p>
    <w:p>
      <w:pPr>
        <w:pStyle w:val="71"/>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p>
    <w:p>
      <w:pPr>
        <w:shd w:val="clear" w:color="auto" w:fill="auto"/>
        <w:spacing w:after="0" w:afterLines="-2147483648" w:line="240" w:lineRule="auto"/>
        <w:ind w:right="0" w:rightChars="0"/>
        <w:jc w:val="left"/>
        <w:rPr>
          <w:rFonts w:hint="eastAsia" w:ascii="宋体" w:hAnsi="宋体" w:eastAsia="宋体" w:cs="宋体"/>
          <w:b/>
          <w:color w:val="auto"/>
          <w:kern w:val="0"/>
          <w:sz w:val="24"/>
          <w:szCs w:val="28"/>
          <w:highlight w:val="none"/>
          <w:lang w:val="en-GB"/>
        </w:rPr>
      </w:pPr>
      <w:r>
        <w:rPr>
          <w:rFonts w:hint="eastAsia" w:ascii="宋体" w:hAnsi="宋体" w:eastAsia="宋体" w:cs="宋体"/>
          <w:b/>
          <w:color w:val="auto"/>
          <w:kern w:val="0"/>
          <w:sz w:val="24"/>
          <w:szCs w:val="28"/>
          <w:highlight w:val="none"/>
          <w:lang w:val="en-GB"/>
        </w:rPr>
        <w:t>2、评标（符合性评审和详细评审的方法及标准）：</w:t>
      </w:r>
    </w:p>
    <w:p>
      <w:pPr>
        <w:pStyle w:val="49"/>
        <w:numPr>
          <w:ilvl w:val="-1"/>
          <w:numId w:val="0"/>
        </w:numPr>
        <w:spacing w:line="360" w:lineRule="auto"/>
        <w:jc w:val="center"/>
        <w:rPr>
          <w:rFonts w:hint="eastAsia" w:ascii="宋体" w:hAnsi="宋体" w:eastAsia="宋体" w:cs="宋体"/>
          <w:sz w:val="24"/>
          <w:szCs w:val="24"/>
          <w:lang w:val="en-US"/>
        </w:rPr>
      </w:pPr>
      <w:r>
        <w:rPr>
          <w:rFonts w:hint="eastAsia" w:ascii="宋体" w:hAnsi="宋体" w:eastAsia="宋体" w:cs="宋体"/>
          <w:b/>
          <w:color w:val="auto"/>
          <w:kern w:val="0"/>
          <w:sz w:val="24"/>
          <w:szCs w:val="24"/>
          <w:highlight w:val="none"/>
          <w:lang w:val="en-GB"/>
        </w:rPr>
        <w:t>符合性评审</w:t>
      </w:r>
      <w:r>
        <w:rPr>
          <w:rFonts w:hint="eastAsia" w:ascii="宋体" w:hAnsi="宋体" w:eastAsia="宋体" w:cs="宋体"/>
          <w:b/>
          <w:color w:val="auto"/>
          <w:kern w:val="0"/>
          <w:sz w:val="24"/>
          <w:szCs w:val="24"/>
          <w:highlight w:val="none"/>
          <w:lang w:val="en-US" w:eastAsia="zh-CN"/>
        </w:rPr>
        <w:t>内容</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730"/>
        <w:gridCol w:w="2380"/>
        <w:gridCol w:w="5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93"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shd w:val="clear" w:color="auto" w:fill="auto"/>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评审内容</w:t>
            </w:r>
          </w:p>
        </w:tc>
        <w:tc>
          <w:tcPr>
            <w:tcW w:w="730"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shd w:val="clear" w:color="auto" w:fill="auto"/>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380"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shd w:val="clear" w:color="auto" w:fill="auto"/>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评审因素</w:t>
            </w:r>
          </w:p>
        </w:tc>
        <w:tc>
          <w:tcPr>
            <w:tcW w:w="5028"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shd w:val="clear" w:color="auto" w:fill="auto"/>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3" w:type="dxa"/>
            <w:vMerge w:val="restart"/>
            <w:tcBorders>
              <w:top w:val="single" w:color="000000" w:sz="4" w:space="0"/>
            </w:tcBorders>
            <w:noWrap w:val="0"/>
            <w:vAlign w:val="center"/>
          </w:tcPr>
          <w:p>
            <w:pPr>
              <w:shd w:val="clear" w:color="auto" w:fill="auto"/>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符合性评审</w:t>
            </w:r>
          </w:p>
        </w:tc>
        <w:tc>
          <w:tcPr>
            <w:tcW w:w="730" w:type="dxa"/>
            <w:tcBorders>
              <w:top w:val="single" w:color="000000" w:sz="4" w:space="0"/>
            </w:tcBorders>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tcBorders>
              <w:top w:val="single" w:color="000000" w:sz="4" w:space="0"/>
            </w:tcBorders>
            <w:noWrap w:val="0"/>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投标函</w:t>
            </w:r>
          </w:p>
        </w:tc>
        <w:tc>
          <w:tcPr>
            <w:tcW w:w="5028" w:type="dxa"/>
            <w:tcBorders>
              <w:top w:val="single" w:color="000000" w:sz="4" w:space="0"/>
            </w:tcBorders>
            <w:noWrap w:val="0"/>
            <w:vAlign w:val="top"/>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按对应格式文件填写、签署、盖章(原件)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3"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0" w:type="dxa"/>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投标保证金</w:t>
            </w:r>
          </w:p>
        </w:tc>
        <w:tc>
          <w:tcPr>
            <w:tcW w:w="5028" w:type="dxa"/>
            <w:noWrap w:val="0"/>
            <w:vAlign w:val="center"/>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投标保证金是否按要求缴纳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3"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0" w:type="dxa"/>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法定代表人资格证明书及授权委托书</w:t>
            </w:r>
          </w:p>
        </w:tc>
        <w:tc>
          <w:tcPr>
            <w:tcW w:w="5028" w:type="dxa"/>
            <w:noWrap w:val="0"/>
            <w:vAlign w:val="center"/>
          </w:tcPr>
          <w:p>
            <w:pPr>
              <w:shd w:val="clear" w:color="auto" w:fill="auto"/>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3"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0" w:type="dxa"/>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投标文件签字盖章</w:t>
            </w:r>
          </w:p>
        </w:tc>
        <w:tc>
          <w:tcPr>
            <w:tcW w:w="5028" w:type="dxa"/>
            <w:noWrap w:val="0"/>
            <w:vAlign w:val="center"/>
          </w:tcPr>
          <w:p>
            <w:pPr>
              <w:shd w:val="clear" w:color="auto" w:fill="auto"/>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符合《</w:t>
            </w:r>
            <w:r>
              <w:rPr>
                <w:rFonts w:hint="eastAsia" w:ascii="宋体" w:hAnsi="宋体" w:eastAsia="宋体" w:cs="宋体"/>
                <w:color w:val="auto"/>
                <w:kern w:val="0"/>
                <w:sz w:val="24"/>
                <w:szCs w:val="24"/>
                <w:highlight w:val="none"/>
                <w:lang w:eastAsia="zh-CN"/>
              </w:rPr>
              <w:t>投标人须知前附表</w:t>
            </w:r>
            <w:r>
              <w:rPr>
                <w:rFonts w:hint="eastAsia" w:ascii="宋体" w:hAnsi="宋体" w:eastAsia="宋体" w:cs="宋体"/>
                <w:color w:val="auto"/>
                <w:kern w:val="0"/>
                <w:sz w:val="24"/>
                <w:szCs w:val="24"/>
                <w:highlight w:val="none"/>
              </w:rPr>
              <w:t>》的规定</w:t>
            </w:r>
            <w:r>
              <w:rPr>
                <w:rFonts w:hint="eastAsia" w:ascii="宋体" w:hAnsi="宋体" w:eastAsia="宋体" w:cs="宋体"/>
                <w:color w:val="auto"/>
                <w:kern w:val="0"/>
                <w:sz w:val="24"/>
                <w:szCs w:val="24"/>
                <w:highlight w:val="none"/>
                <w:lang w:eastAsia="zh-CN"/>
              </w:rPr>
              <w:t>要求签字、盖章</w:t>
            </w:r>
            <w:r>
              <w:rPr>
                <w:rFonts w:hint="eastAsia" w:ascii="宋体" w:hAnsi="宋体" w:eastAsia="宋体" w:cs="宋体"/>
                <w:color w:val="auto"/>
                <w:kern w:val="0"/>
                <w:sz w:val="24"/>
                <w:szCs w:val="24"/>
                <w:highlight w:val="none"/>
              </w:rPr>
              <w:t>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3"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0" w:type="dxa"/>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报价要求</w:t>
            </w:r>
          </w:p>
        </w:tc>
        <w:tc>
          <w:tcPr>
            <w:tcW w:w="5028" w:type="dxa"/>
            <w:noWrap w:val="0"/>
            <w:vAlign w:val="center"/>
          </w:tcPr>
          <w:p>
            <w:pPr>
              <w:shd w:val="clear" w:color="auto" w:fill="auto"/>
              <w:spacing w:line="360" w:lineRule="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报价在招标文件规定的有效报价范围内，且固定唯一。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3"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0" w:type="dxa"/>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投标有效期</w:t>
            </w:r>
          </w:p>
        </w:tc>
        <w:tc>
          <w:tcPr>
            <w:tcW w:w="5028" w:type="dxa"/>
            <w:noWrap w:val="0"/>
            <w:vAlign w:val="center"/>
          </w:tcPr>
          <w:p>
            <w:pPr>
              <w:shd w:val="clear" w:color="auto" w:fill="auto"/>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符合《</w:t>
            </w:r>
            <w:r>
              <w:rPr>
                <w:rFonts w:hint="eastAsia" w:ascii="宋体" w:hAnsi="宋体" w:eastAsia="宋体" w:cs="宋体"/>
                <w:color w:val="auto"/>
                <w:kern w:val="0"/>
                <w:sz w:val="24"/>
                <w:szCs w:val="24"/>
                <w:highlight w:val="none"/>
                <w:lang w:eastAsia="zh-CN"/>
              </w:rPr>
              <w:t>投标人须知前附表</w:t>
            </w:r>
            <w:r>
              <w:rPr>
                <w:rFonts w:hint="eastAsia" w:ascii="宋体" w:hAnsi="宋体" w:eastAsia="宋体" w:cs="宋体"/>
                <w:color w:val="auto"/>
                <w:kern w:val="0"/>
                <w:sz w:val="24"/>
                <w:szCs w:val="24"/>
                <w:highlight w:val="none"/>
              </w:rPr>
              <w:t>》的规定。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3"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0" w:type="dxa"/>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投标范围</w:t>
            </w:r>
          </w:p>
        </w:tc>
        <w:tc>
          <w:tcPr>
            <w:tcW w:w="5028" w:type="dxa"/>
            <w:noWrap w:val="0"/>
            <w:vAlign w:val="center"/>
          </w:tcPr>
          <w:p>
            <w:pPr>
              <w:shd w:val="clear" w:color="auto" w:fill="auto"/>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符合本项目规定的招标范围。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3"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0" w:type="dxa"/>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技术、商务要求</w:t>
            </w:r>
          </w:p>
        </w:tc>
        <w:tc>
          <w:tcPr>
            <w:tcW w:w="5028" w:type="dxa"/>
            <w:noWrap w:val="0"/>
            <w:vAlign w:val="center"/>
          </w:tcPr>
          <w:p>
            <w:pPr>
              <w:shd w:val="clear" w:color="auto" w:fill="auto"/>
              <w:spacing w:line="360" w:lineRule="auto"/>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投标文件完全满足招标文件的实质性条款（即标注★号条款）无负偏离的</w:t>
            </w:r>
            <w:r>
              <w:rPr>
                <w:rFonts w:hint="eastAsia" w:ascii="宋体" w:hAnsi="宋体" w:eastAsia="宋体" w:cs="宋体"/>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3"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0" w:type="dxa"/>
            <w:noWrap w:val="0"/>
            <w:vAlign w:val="center"/>
          </w:tcPr>
          <w:p>
            <w:pPr>
              <w:numPr>
                <w:ilvl w:val="0"/>
                <w:numId w:val="59"/>
              </w:numPr>
              <w:shd w:val="clear" w:color="auto" w:fill="auto"/>
              <w:spacing w:line="360" w:lineRule="auto"/>
              <w:jc w:val="center"/>
              <w:rPr>
                <w:rFonts w:hint="eastAsia" w:ascii="宋体" w:hAnsi="宋体" w:eastAsia="宋体" w:cs="宋体"/>
                <w:color w:val="auto"/>
                <w:kern w:val="0"/>
                <w:sz w:val="24"/>
                <w:szCs w:val="24"/>
                <w:highlight w:val="none"/>
              </w:rPr>
            </w:pPr>
          </w:p>
        </w:tc>
        <w:tc>
          <w:tcPr>
            <w:tcW w:w="2380"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其它内容</w:t>
            </w:r>
          </w:p>
        </w:tc>
        <w:tc>
          <w:tcPr>
            <w:tcW w:w="5028" w:type="dxa"/>
            <w:noWrap w:val="0"/>
            <w:vAlign w:val="center"/>
          </w:tcPr>
          <w:p>
            <w:pPr>
              <w:shd w:val="clear" w:color="auto" w:fill="auto"/>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投标文件没有招标文件中规定的其它无效投标条款的。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3" w:type="dxa"/>
            <w:gridSpan w:val="2"/>
            <w:vMerge w:val="restart"/>
            <w:noWrap w:val="0"/>
            <w:vAlign w:val="center"/>
          </w:tcPr>
          <w:p>
            <w:pPr>
              <w:shd w:val="clear" w:color="auto" w:fill="auto"/>
              <w:tabs>
                <w:tab w:val="left" w:pos="420"/>
              </w:tabs>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详细</w:t>
            </w:r>
            <w:r>
              <w:rPr>
                <w:rFonts w:hint="eastAsia" w:ascii="宋体" w:hAnsi="宋体" w:eastAsia="宋体" w:cs="宋体"/>
                <w:b/>
                <w:bCs/>
                <w:color w:val="auto"/>
                <w:kern w:val="0"/>
                <w:sz w:val="24"/>
                <w:szCs w:val="24"/>
                <w:highlight w:val="none"/>
                <w:lang w:val="en-GB"/>
              </w:rPr>
              <w:t>评审方法</w:t>
            </w:r>
          </w:p>
        </w:tc>
        <w:tc>
          <w:tcPr>
            <w:tcW w:w="2380"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综合评分法</w:t>
            </w:r>
          </w:p>
        </w:tc>
        <w:tc>
          <w:tcPr>
            <w:tcW w:w="5028" w:type="dxa"/>
            <w:noWrap w:val="0"/>
            <w:vAlign w:val="center"/>
          </w:tcPr>
          <w:p>
            <w:pPr>
              <w:shd w:val="clear" w:color="auto" w:fill="auto"/>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即投标文件满足招标文件全部实质性要求，且按照评审因素的量化指标进行综合评审，按评标总得分从高到低的顺序推荐中标候选人（本项目推荐中标候选人的数量见《</w:t>
            </w:r>
            <w:r>
              <w:rPr>
                <w:rFonts w:hint="eastAsia" w:ascii="宋体" w:hAnsi="宋体" w:eastAsia="宋体" w:cs="宋体"/>
                <w:color w:val="auto"/>
                <w:kern w:val="0"/>
                <w:sz w:val="24"/>
                <w:szCs w:val="24"/>
                <w:highlight w:val="none"/>
                <w:lang w:eastAsia="zh-CN"/>
              </w:rPr>
              <w:t>投标人须知前附表</w:t>
            </w:r>
            <w:r>
              <w:rPr>
                <w:rFonts w:hint="eastAsia" w:ascii="宋体" w:hAnsi="宋体" w:eastAsia="宋体" w:cs="宋体"/>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023" w:type="dxa"/>
            <w:gridSpan w:val="2"/>
            <w:vMerge w:val="continue"/>
            <w:noWrap w:val="0"/>
            <w:vAlign w:val="center"/>
          </w:tcPr>
          <w:p>
            <w:pPr>
              <w:shd w:val="clear" w:color="auto" w:fill="auto"/>
              <w:tabs>
                <w:tab w:val="left" w:pos="420"/>
              </w:tabs>
              <w:spacing w:line="360" w:lineRule="auto"/>
              <w:ind w:left="425" w:hanging="425"/>
              <w:jc w:val="center"/>
              <w:rPr>
                <w:rFonts w:hint="eastAsia" w:ascii="宋体" w:hAnsi="宋体" w:eastAsia="宋体" w:cs="宋体"/>
                <w:color w:val="auto"/>
                <w:kern w:val="0"/>
                <w:sz w:val="24"/>
                <w:szCs w:val="24"/>
                <w:highlight w:val="none"/>
              </w:rPr>
            </w:pPr>
          </w:p>
        </w:tc>
        <w:tc>
          <w:tcPr>
            <w:tcW w:w="2380" w:type="dxa"/>
            <w:noWrap w:val="0"/>
            <w:vAlign w:val="center"/>
          </w:tcPr>
          <w:p>
            <w:pPr>
              <w:shd w:val="clear" w:color="auto" w:fill="auto"/>
              <w:spacing w:line="360" w:lineRule="auto"/>
              <w:jc w:val="center"/>
              <w:rPr>
                <w:rFonts w:hint="eastAsia" w:ascii="宋体" w:hAnsi="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分值构成</w:t>
            </w:r>
          </w:p>
        </w:tc>
        <w:tc>
          <w:tcPr>
            <w:tcW w:w="5028" w:type="dxa"/>
            <w:noWrap w:val="0"/>
            <w:vAlign w:val="center"/>
          </w:tcPr>
          <w:p>
            <w:pPr>
              <w:shd w:val="clear" w:color="auto" w:fill="auto"/>
              <w:spacing w:line="360" w:lineRule="auto"/>
              <w:jc w:val="left"/>
              <w:rPr>
                <w:rFonts w:hint="eastAsia" w:ascii="宋体" w:hAnsi="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总分：100分。其中：</w:t>
            </w:r>
          </w:p>
          <w:p>
            <w:pPr>
              <w:shd w:val="clear" w:color="auto" w:fill="auto"/>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rPr>
              <w:t>技术部分</w:t>
            </w: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40</w:t>
            </w:r>
            <w:r>
              <w:rPr>
                <w:rFonts w:hint="eastAsia" w:ascii="宋体" w:hAnsi="宋体" w:eastAsia="宋体" w:cs="宋体"/>
                <w:b/>
                <w:bCs/>
                <w:color w:val="auto"/>
                <w:kern w:val="0"/>
                <w:sz w:val="24"/>
                <w:szCs w:val="24"/>
                <w:highlight w:val="none"/>
                <w:lang w:val="en-US" w:eastAsia="zh-CN"/>
              </w:rPr>
              <w:t>分</w:t>
            </w:r>
            <w:r>
              <w:rPr>
                <w:rFonts w:hint="eastAsia" w:ascii="宋体" w:hAnsi="宋体" w:cs="宋体"/>
                <w:b/>
                <w:bCs/>
                <w:color w:val="auto"/>
                <w:kern w:val="0"/>
                <w:sz w:val="24"/>
                <w:szCs w:val="24"/>
                <w:highlight w:val="none"/>
                <w:lang w:val="en-US" w:eastAsia="zh-CN"/>
              </w:rPr>
              <w:t>，</w:t>
            </w:r>
          </w:p>
          <w:p>
            <w:pPr>
              <w:shd w:val="clear" w:color="auto" w:fill="auto"/>
              <w:spacing w:line="360" w:lineRule="auto"/>
              <w:jc w:val="left"/>
              <w:rPr>
                <w:rFonts w:hint="default"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商务部分：30分，</w:t>
            </w:r>
          </w:p>
          <w:p>
            <w:pPr>
              <w:shd w:val="clear" w:color="auto" w:fill="auto"/>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价格部分</w:t>
            </w: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30</w:t>
            </w:r>
            <w:r>
              <w:rPr>
                <w:rFonts w:hint="eastAsia" w:ascii="宋体" w:hAnsi="宋体" w:eastAsia="宋体" w:cs="宋体"/>
                <w:b/>
                <w:bCs/>
                <w:color w:val="auto"/>
                <w:kern w:val="0"/>
                <w:sz w:val="24"/>
                <w:szCs w:val="24"/>
                <w:highlight w:val="none"/>
                <w:lang w:eastAsia="zh-CN"/>
              </w:rPr>
              <w:t>分</w:t>
            </w:r>
            <w:r>
              <w:rPr>
                <w:rFonts w:hint="eastAsia" w:ascii="宋体" w:hAnsi="宋体" w:cs="宋体"/>
                <w:b/>
                <w:bCs/>
                <w:color w:val="auto"/>
                <w:kern w:val="0"/>
                <w:sz w:val="24"/>
                <w:szCs w:val="24"/>
                <w:highlight w:val="none"/>
                <w:lang w:eastAsia="zh-CN"/>
              </w:rPr>
              <w:t>。</w:t>
            </w:r>
          </w:p>
        </w:tc>
      </w:tr>
    </w:tbl>
    <w:p>
      <w:pPr>
        <w:shd w:val="clear" w:color="auto" w:fill="auto"/>
        <w:spacing w:after="0" w:afterLines="-2147483648" w:line="240" w:lineRule="auto"/>
        <w:ind w:right="0" w:rightChars="0"/>
        <w:jc w:val="center"/>
        <w:outlineLvl w:val="9"/>
        <w:rPr>
          <w:rFonts w:hint="eastAsia" w:ascii="宋体" w:hAnsi="宋体" w:eastAsia="宋体" w:cs="宋体"/>
          <w:b/>
          <w:kern w:val="0"/>
          <w:sz w:val="28"/>
          <w:szCs w:val="28"/>
          <w:highlight w:val="none"/>
        </w:rPr>
      </w:pPr>
    </w:p>
    <w:p>
      <w:pPr>
        <w:pStyle w:val="49"/>
        <w:spacing w:line="360" w:lineRule="auto"/>
        <w:jc w:val="both"/>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rPr>
        <w:t>评审量化指标</w:t>
      </w:r>
      <w:r>
        <w:rPr>
          <w:rFonts w:hint="eastAsia" w:ascii="宋体" w:hAnsi="宋体" w:eastAsia="宋体" w:cs="宋体"/>
          <w:b/>
          <w:color w:val="auto"/>
          <w:kern w:val="0"/>
          <w:sz w:val="24"/>
          <w:szCs w:val="24"/>
          <w:highlight w:val="none"/>
          <w:lang w:val="en-US" w:eastAsia="zh-CN"/>
        </w:rPr>
        <w:t>内容</w:t>
      </w:r>
    </w:p>
    <w:tbl>
      <w:tblPr>
        <w:tblStyle w:val="54"/>
        <w:tblW w:w="9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733"/>
        <w:gridCol w:w="1555"/>
        <w:gridCol w:w="979"/>
        <w:gridCol w:w="5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9681" w:type="dxa"/>
            <w:gridSpan w:val="5"/>
            <w:noWrap w:val="0"/>
            <w:vAlign w:val="center"/>
          </w:tcPr>
          <w:p>
            <w:pPr>
              <w:shd w:val="clear" w:color="auto" w:fill="auto"/>
              <w:spacing w:line="360" w:lineRule="auto"/>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详细评审量化指标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18" w:type="dxa"/>
            <w:shd w:val="clear" w:color="auto" w:fill="EEECE1"/>
            <w:noWrap w:val="0"/>
            <w:vAlign w:val="center"/>
          </w:tcPr>
          <w:p>
            <w:pPr>
              <w:shd w:val="clear" w:color="auto" w:fill="auto"/>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kern w:val="0"/>
                <w:sz w:val="24"/>
                <w:szCs w:val="24"/>
                <w:highlight w:val="none"/>
              </w:rPr>
              <w:t>评审内容</w:t>
            </w:r>
          </w:p>
        </w:tc>
        <w:tc>
          <w:tcPr>
            <w:tcW w:w="733" w:type="dxa"/>
            <w:shd w:val="clear" w:color="auto" w:fill="EEECE1"/>
            <w:noWrap w:val="0"/>
            <w:vAlign w:val="center"/>
          </w:tcPr>
          <w:p>
            <w:pPr>
              <w:shd w:val="clear" w:color="auto" w:fill="auto"/>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1555" w:type="dxa"/>
            <w:shd w:val="clear" w:color="auto" w:fill="EEECE1"/>
            <w:noWrap w:val="0"/>
            <w:vAlign w:val="center"/>
          </w:tcPr>
          <w:p>
            <w:pPr>
              <w:shd w:val="clear" w:color="auto" w:fill="auto"/>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评审因素</w:t>
            </w:r>
          </w:p>
        </w:tc>
        <w:tc>
          <w:tcPr>
            <w:tcW w:w="979" w:type="dxa"/>
            <w:shd w:val="clear" w:color="auto" w:fill="EEECE1"/>
            <w:noWrap w:val="0"/>
            <w:vAlign w:val="center"/>
          </w:tcPr>
          <w:p>
            <w:pPr>
              <w:shd w:val="clear" w:color="auto" w:fill="auto"/>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满分值</w:t>
            </w:r>
          </w:p>
        </w:tc>
        <w:tc>
          <w:tcPr>
            <w:tcW w:w="5196" w:type="dxa"/>
            <w:shd w:val="clear" w:color="auto" w:fill="EEECE1"/>
            <w:noWrap w:val="0"/>
            <w:vAlign w:val="center"/>
          </w:tcPr>
          <w:p>
            <w:pPr>
              <w:shd w:val="clear" w:color="auto" w:fill="auto"/>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1218" w:type="dxa"/>
            <w:vMerge w:val="restart"/>
            <w:noWrap w:val="0"/>
            <w:vAlign w:val="center"/>
          </w:tcPr>
          <w:p>
            <w:pPr>
              <w:shd w:val="clear" w:color="auto" w:fill="auto"/>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技术部分</w:t>
            </w:r>
          </w:p>
          <w:p>
            <w:pPr>
              <w:pStyle w:val="251"/>
              <w:shd w:val="clear" w:color="auto" w:fill="auto"/>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40</w:t>
            </w:r>
            <w:r>
              <w:rPr>
                <w:rFonts w:hint="eastAsia" w:ascii="宋体" w:hAnsi="宋体" w:eastAsia="宋体" w:cs="宋体"/>
                <w:b/>
                <w:bCs/>
                <w:color w:val="auto"/>
                <w:kern w:val="0"/>
                <w:sz w:val="24"/>
                <w:szCs w:val="24"/>
                <w:highlight w:val="none"/>
                <w:lang w:val="en-US" w:eastAsia="zh-CN"/>
              </w:rPr>
              <w:t>分</w:t>
            </w:r>
            <w:r>
              <w:rPr>
                <w:rFonts w:hint="eastAsia" w:ascii="宋体" w:hAnsi="宋体" w:eastAsia="宋体" w:cs="宋体"/>
                <w:b/>
                <w:bCs/>
                <w:color w:val="auto"/>
                <w:kern w:val="0"/>
                <w:sz w:val="24"/>
                <w:szCs w:val="24"/>
                <w:highlight w:val="none"/>
                <w:lang w:eastAsia="zh-CN"/>
              </w:rPr>
              <w:t>）</w:t>
            </w:r>
          </w:p>
        </w:tc>
        <w:tc>
          <w:tcPr>
            <w:tcW w:w="733"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w:t>
            </w:r>
          </w:p>
        </w:tc>
        <w:tc>
          <w:tcPr>
            <w:tcW w:w="1555"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技术参数响应情况</w:t>
            </w:r>
          </w:p>
        </w:tc>
        <w:tc>
          <w:tcPr>
            <w:tcW w:w="979" w:type="dxa"/>
            <w:noWrap w:val="0"/>
            <w:vAlign w:val="center"/>
          </w:tcPr>
          <w:p>
            <w:pPr>
              <w:keepNext w:val="0"/>
              <w:keepLines w:val="0"/>
              <w:pageBreakBefore w:val="0"/>
              <w:suppressLineNumbers w:val="0"/>
              <w:shd w:val="clear" w:color="auto" w:fill="auto"/>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7分</w:t>
            </w:r>
          </w:p>
        </w:tc>
        <w:tc>
          <w:tcPr>
            <w:tcW w:w="5196" w:type="dxa"/>
            <w:noWrap w:val="0"/>
            <w:vAlign w:val="center"/>
          </w:tcPr>
          <w:p>
            <w:pPr>
              <w:shd w:val="clear" w:color="auto" w:fill="auto"/>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对采购需求“</w:t>
            </w:r>
            <w:r>
              <w:rPr>
                <w:rFonts w:hint="eastAsia" w:eastAsia="宋体"/>
                <w:b w:val="0"/>
                <w:bCs w:val="0"/>
                <w:sz w:val="24"/>
                <w:szCs w:val="24"/>
                <w:lang w:val="en-US" w:eastAsia="zh-CN"/>
              </w:rPr>
              <w:t>技术规格及需求一览表</w:t>
            </w:r>
            <w:r>
              <w:rPr>
                <w:rFonts w:hint="eastAsia" w:ascii="宋体" w:hAnsi="宋体" w:eastAsia="宋体" w:cs="宋体"/>
                <w:color w:val="auto"/>
                <w:sz w:val="24"/>
                <w:highlight w:val="none"/>
                <w:lang w:val="en-US" w:eastAsia="zh-CN"/>
              </w:rPr>
              <w:t>”的条款进行响应，</w:t>
            </w:r>
            <w:r>
              <w:rPr>
                <w:rFonts w:hint="eastAsia" w:ascii="宋体" w:hAnsi="宋体" w:cs="宋体"/>
                <w:color w:val="auto"/>
                <w:sz w:val="24"/>
                <w:highlight w:val="none"/>
                <w:lang w:val="en-US" w:eastAsia="zh-CN"/>
              </w:rPr>
              <w:t>对</w:t>
            </w:r>
            <w:r>
              <w:rPr>
                <w:rFonts w:hint="eastAsia" w:ascii="宋体" w:hAnsi="宋体" w:eastAsia="宋体" w:cs="宋体"/>
                <w:color w:val="auto"/>
                <w:sz w:val="24"/>
                <w:highlight w:val="none"/>
                <w:lang w:val="en-US" w:eastAsia="zh-CN"/>
              </w:rPr>
              <w:t>投标货物的各项技术性能指标、方案功能要求与采购文件要求的符合程度打分，完全响应技术性能指标参数</w:t>
            </w:r>
            <w:r>
              <w:rPr>
                <w:rFonts w:hint="eastAsia" w:ascii="宋体" w:hAnsi="宋体" w:cs="宋体"/>
                <w:color w:val="auto"/>
                <w:sz w:val="24"/>
                <w:highlight w:val="none"/>
                <w:lang w:val="en-US" w:eastAsia="zh-CN"/>
              </w:rPr>
              <w:t>和要求的得7分</w:t>
            </w:r>
            <w:r>
              <w:rPr>
                <w:rFonts w:hint="eastAsia" w:ascii="宋体" w:hAnsi="宋体" w:eastAsia="宋体" w:cs="宋体"/>
                <w:color w:val="auto"/>
                <w:sz w:val="24"/>
                <w:highlight w:val="none"/>
                <w:lang w:val="en-US" w:eastAsia="zh-CN"/>
              </w:rPr>
              <w:t>，每有一项不响应或负偏离的扣</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分，扣完为止。</w:t>
            </w:r>
          </w:p>
          <w:p>
            <w:pPr>
              <w:shd w:val="clear" w:color="auto" w:fill="auto"/>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本项最高得7分。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注：①</w:t>
            </w:r>
            <w:r>
              <w:rPr>
                <w:rFonts w:hint="eastAsia" w:ascii="宋体" w:hAnsi="宋体" w:cs="宋体"/>
                <w:color w:val="auto"/>
                <w:sz w:val="24"/>
                <w:szCs w:val="24"/>
                <w:highlight w:val="none"/>
                <w:lang w:eastAsia="zh-CN"/>
              </w:rPr>
              <w:t>采购</w:t>
            </w:r>
            <w:r>
              <w:rPr>
                <w:rFonts w:hint="eastAsia" w:ascii="宋体" w:hAnsi="宋体" w:eastAsia="宋体" w:cs="宋体"/>
                <w:color w:val="auto"/>
                <w:sz w:val="24"/>
                <w:szCs w:val="24"/>
                <w:highlight w:val="none"/>
              </w:rPr>
              <w:t>需求要求提供证明资料的，则投标文件中须提供对应产品参数的证明资料；②</w:t>
            </w:r>
            <w:r>
              <w:rPr>
                <w:rFonts w:hint="eastAsia" w:ascii="宋体" w:hAnsi="宋体" w:cs="宋体"/>
                <w:color w:val="auto"/>
                <w:sz w:val="24"/>
                <w:szCs w:val="24"/>
                <w:highlight w:val="none"/>
                <w:lang w:eastAsia="zh-CN"/>
              </w:rPr>
              <w:t>采购</w:t>
            </w:r>
            <w:r>
              <w:rPr>
                <w:rFonts w:hint="eastAsia" w:ascii="宋体" w:hAnsi="宋体" w:eastAsia="宋体" w:cs="宋体"/>
                <w:color w:val="auto"/>
                <w:sz w:val="24"/>
                <w:szCs w:val="24"/>
                <w:highlight w:val="none"/>
              </w:rPr>
              <w:t>需求未要求提供证明资料的，则投标文件中须提供所投产品彩页或原厂商的官方技术白皮书或原厂商所作的技术参数说明等详细技术资料。</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shd w:val="clear" w:color="auto" w:fill="auto"/>
              <w:spacing w:line="360" w:lineRule="auto"/>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w:t>
            </w:r>
          </w:p>
        </w:tc>
        <w:tc>
          <w:tcPr>
            <w:tcW w:w="1555"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货物运输及应急措施等</w:t>
            </w:r>
          </w:p>
        </w:tc>
        <w:tc>
          <w:tcPr>
            <w:tcW w:w="979" w:type="dxa"/>
            <w:noWrap w:val="0"/>
            <w:vAlign w:val="center"/>
          </w:tcPr>
          <w:p>
            <w:pPr>
              <w:keepNext w:val="0"/>
              <w:keepLines w:val="0"/>
              <w:pageBreakBefore w:val="0"/>
              <w:suppressLineNumbers w:val="0"/>
              <w:shd w:val="clear" w:color="auto" w:fill="auto"/>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0"/>
                <w:sz w:val="24"/>
                <w:szCs w:val="24"/>
                <w:highlight w:val="none"/>
                <w:lang w:val="en-US" w:eastAsia="zh-CN" w:bidi="ar-SA"/>
              </w:rPr>
              <w:t>7分</w:t>
            </w:r>
          </w:p>
        </w:tc>
        <w:tc>
          <w:tcPr>
            <w:tcW w:w="5196" w:type="dxa"/>
            <w:noWrap w:val="0"/>
            <w:vAlign w:val="center"/>
          </w:tcPr>
          <w:p>
            <w:pPr>
              <w:shd w:val="clear" w:color="auto" w:fill="auto"/>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根据投标人</w:t>
            </w:r>
            <w:r>
              <w:rPr>
                <w:rFonts w:hint="eastAsia" w:ascii="宋体" w:hAnsi="宋体" w:eastAsia="宋体" w:cs="宋体"/>
                <w:color w:val="auto"/>
                <w:sz w:val="24"/>
                <w:szCs w:val="24"/>
                <w:highlight w:val="none"/>
                <w:lang w:val="en-US" w:eastAsia="zh-CN"/>
              </w:rPr>
              <w:t>针对本项目的货物运输途中安全保证措施及遇到天气、自然灾害、交通事故等应急保障措施方案等进行</w:t>
            </w:r>
            <w:r>
              <w:rPr>
                <w:rFonts w:hint="eastAsia" w:ascii="宋体" w:hAnsi="宋体" w:cs="宋体"/>
                <w:color w:val="auto"/>
                <w:sz w:val="24"/>
                <w:szCs w:val="24"/>
                <w:highlight w:val="none"/>
                <w:lang w:val="en-US" w:eastAsia="zh-CN"/>
              </w:rPr>
              <w:t>综合评价：</w:t>
            </w:r>
            <w:r>
              <w:rPr>
                <w:rFonts w:hint="eastAsia" w:ascii="宋体" w:hAnsi="宋体" w:eastAsia="宋体" w:cs="宋体"/>
                <w:color w:val="auto"/>
                <w:sz w:val="24"/>
                <w:szCs w:val="24"/>
                <w:highlight w:val="none"/>
                <w:lang w:val="en-US" w:eastAsia="zh-CN"/>
              </w:rPr>
              <w:t xml:space="preserve"> </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货物运输途中安全保证措施及遇到天气、自然灾害、交通事故等应急保障措施方案完整、描述详细，可行、合理得</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货物运输途中安全保证措施及遇到天气、自然灾害、交通事故等应急保障措施方案较完整、较详细，较可行，得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货物运输途中安全保证措施及遇到天气、自然灾害、交通事故等应急保障措施方案不完整，缺项较多的，不切实际，得1分；</w:t>
            </w:r>
          </w:p>
          <w:p>
            <w:pPr>
              <w:shd w:val="clear" w:color="auto" w:fill="auto"/>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未进行描述得0分。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shd w:val="clear" w:color="auto" w:fill="auto"/>
              <w:spacing w:line="360" w:lineRule="auto"/>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p>
        </w:tc>
        <w:tc>
          <w:tcPr>
            <w:tcW w:w="1555"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供货方案</w:t>
            </w:r>
          </w:p>
        </w:tc>
        <w:tc>
          <w:tcPr>
            <w:tcW w:w="979" w:type="dxa"/>
            <w:noWrap w:val="0"/>
            <w:vAlign w:val="center"/>
          </w:tcPr>
          <w:p>
            <w:pPr>
              <w:keepNext w:val="0"/>
              <w:keepLines w:val="0"/>
              <w:pageBreakBefore w:val="0"/>
              <w:suppressLineNumbers w:val="0"/>
              <w:shd w:val="clear" w:color="auto" w:fill="auto"/>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0"/>
                <w:sz w:val="24"/>
                <w:szCs w:val="24"/>
                <w:highlight w:val="none"/>
                <w:lang w:val="en-US" w:eastAsia="zh-CN" w:bidi="ar-SA"/>
              </w:rPr>
              <w:t>7分</w:t>
            </w:r>
          </w:p>
        </w:tc>
        <w:tc>
          <w:tcPr>
            <w:tcW w:w="5196" w:type="dxa"/>
            <w:noWrap w:val="0"/>
            <w:vAlign w:val="center"/>
          </w:tcPr>
          <w:p>
            <w:pPr>
              <w:numPr>
                <w:ilvl w:val="0"/>
                <w:numId w:val="0"/>
              </w:num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根据投标人</w:t>
            </w:r>
            <w:r>
              <w:rPr>
                <w:rFonts w:hint="eastAsia" w:ascii="宋体" w:hAnsi="宋体" w:eastAsia="宋体" w:cs="宋体"/>
                <w:color w:val="auto"/>
                <w:sz w:val="24"/>
                <w:szCs w:val="24"/>
                <w:highlight w:val="none"/>
                <w:lang w:val="en-US" w:eastAsia="zh-CN"/>
              </w:rPr>
              <w:t>针对本项目提供详细供货实施方案</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包括但不限于供货计划、项目实施人员等</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进行</w:t>
            </w:r>
            <w:r>
              <w:rPr>
                <w:rFonts w:hint="eastAsia" w:ascii="宋体" w:hAnsi="宋体" w:cs="宋体"/>
                <w:color w:val="auto"/>
                <w:sz w:val="24"/>
                <w:szCs w:val="24"/>
                <w:highlight w:val="none"/>
                <w:lang w:val="en-US" w:eastAsia="zh-CN"/>
              </w:rPr>
              <w:t>综合评价：</w:t>
            </w:r>
          </w:p>
          <w:p>
            <w:pPr>
              <w:numPr>
                <w:ilvl w:val="0"/>
                <w:numId w:val="0"/>
              </w:num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供货实施</w:t>
            </w:r>
            <w:r>
              <w:rPr>
                <w:rFonts w:hint="eastAsia" w:ascii="宋体" w:hAnsi="宋体" w:cs="宋体"/>
                <w:color w:val="auto"/>
                <w:sz w:val="24"/>
                <w:szCs w:val="24"/>
                <w:highlight w:val="none"/>
                <w:lang w:val="en-US" w:eastAsia="zh-CN"/>
              </w:rPr>
              <w:t>方案</w:t>
            </w:r>
            <w:r>
              <w:rPr>
                <w:rFonts w:hint="eastAsia" w:ascii="宋体" w:hAnsi="宋体" w:eastAsia="宋体" w:cs="宋体"/>
                <w:color w:val="auto"/>
                <w:sz w:val="24"/>
                <w:szCs w:val="24"/>
                <w:highlight w:val="none"/>
                <w:lang w:val="en-US" w:eastAsia="zh-CN"/>
              </w:rPr>
              <w:t>内容非常详尽、完善、切合项目需求得</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供货实施</w:t>
            </w:r>
            <w:r>
              <w:rPr>
                <w:rFonts w:hint="eastAsia" w:ascii="宋体" w:hAnsi="宋体" w:cs="宋体"/>
                <w:color w:val="auto"/>
                <w:sz w:val="24"/>
                <w:szCs w:val="24"/>
                <w:highlight w:val="none"/>
                <w:lang w:val="en-US" w:eastAsia="zh-CN"/>
              </w:rPr>
              <w:t>方案</w:t>
            </w:r>
            <w:r>
              <w:rPr>
                <w:rFonts w:hint="eastAsia" w:ascii="宋体" w:hAnsi="宋体" w:eastAsia="宋体" w:cs="宋体"/>
                <w:color w:val="auto"/>
                <w:sz w:val="24"/>
                <w:szCs w:val="24"/>
                <w:highlight w:val="none"/>
                <w:lang w:val="en-US" w:eastAsia="zh-CN"/>
              </w:rPr>
              <w:t>内容较为全面、比较切合项目需求得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供货实施</w:t>
            </w:r>
            <w:r>
              <w:rPr>
                <w:rFonts w:hint="eastAsia" w:ascii="宋体" w:hAnsi="宋体" w:cs="宋体"/>
                <w:color w:val="auto"/>
                <w:sz w:val="24"/>
                <w:szCs w:val="24"/>
                <w:highlight w:val="none"/>
                <w:lang w:val="en-US" w:eastAsia="zh-CN"/>
              </w:rPr>
              <w:t>方案</w:t>
            </w:r>
            <w:r>
              <w:rPr>
                <w:rFonts w:hint="eastAsia" w:ascii="宋体" w:hAnsi="宋体" w:eastAsia="宋体" w:cs="宋体"/>
                <w:color w:val="auto"/>
                <w:sz w:val="24"/>
                <w:szCs w:val="24"/>
                <w:highlight w:val="none"/>
                <w:lang w:val="en-US" w:eastAsia="zh-CN"/>
              </w:rPr>
              <w:t>内容笼统、不符合项目需求得1分；</w:t>
            </w:r>
          </w:p>
          <w:p>
            <w:pPr>
              <w:shd w:val="clear" w:color="auto" w:fill="auto"/>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未进行描述得0分。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shd w:val="clear" w:color="auto" w:fill="auto"/>
              <w:spacing w:line="360" w:lineRule="auto"/>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4</w:t>
            </w:r>
          </w:p>
        </w:tc>
        <w:tc>
          <w:tcPr>
            <w:tcW w:w="1555"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交货期</w:t>
            </w:r>
            <w:r>
              <w:rPr>
                <w:rFonts w:hint="eastAsia" w:ascii="宋体" w:hAnsi="宋体" w:eastAsia="宋体" w:cs="宋体"/>
                <w:color w:val="auto"/>
                <w:sz w:val="24"/>
                <w:szCs w:val="24"/>
                <w:highlight w:val="none"/>
                <w:lang w:val="en-US" w:eastAsia="zh-CN"/>
              </w:rPr>
              <w:t>保证措施及承诺</w:t>
            </w:r>
          </w:p>
        </w:tc>
        <w:tc>
          <w:tcPr>
            <w:tcW w:w="979" w:type="dxa"/>
            <w:noWrap w:val="0"/>
            <w:vAlign w:val="center"/>
          </w:tcPr>
          <w:p>
            <w:pPr>
              <w:keepNext w:val="0"/>
              <w:keepLines w:val="0"/>
              <w:pageBreakBefore w:val="0"/>
              <w:suppressLineNumbers w:val="0"/>
              <w:shd w:val="clear" w:color="auto" w:fill="auto"/>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0"/>
                <w:sz w:val="24"/>
                <w:szCs w:val="24"/>
                <w:highlight w:val="none"/>
                <w:lang w:val="en-US" w:eastAsia="zh-CN" w:bidi="ar-SA"/>
              </w:rPr>
              <w:t>7分</w:t>
            </w:r>
          </w:p>
        </w:tc>
        <w:tc>
          <w:tcPr>
            <w:tcW w:w="5196" w:type="dxa"/>
            <w:noWrap w:val="0"/>
            <w:vAlign w:val="center"/>
          </w:tcPr>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根据投标人</w:t>
            </w:r>
            <w:r>
              <w:rPr>
                <w:rFonts w:hint="eastAsia" w:ascii="宋体" w:hAnsi="宋体" w:eastAsia="宋体" w:cs="宋体"/>
                <w:color w:val="auto"/>
                <w:sz w:val="24"/>
                <w:szCs w:val="24"/>
                <w:highlight w:val="none"/>
                <w:lang w:val="en-US" w:eastAsia="zh-CN"/>
              </w:rPr>
              <w:t>针对</w:t>
            </w:r>
            <w:r>
              <w:rPr>
                <w:rFonts w:hint="eastAsia" w:ascii="宋体" w:hAnsi="宋体" w:cs="宋体"/>
                <w:color w:val="auto"/>
                <w:sz w:val="24"/>
                <w:szCs w:val="24"/>
                <w:highlight w:val="none"/>
                <w:lang w:val="en-US" w:eastAsia="zh-CN"/>
              </w:rPr>
              <w:t>交货期</w:t>
            </w:r>
            <w:r>
              <w:rPr>
                <w:rFonts w:hint="eastAsia" w:ascii="宋体" w:hAnsi="宋体" w:eastAsia="宋体" w:cs="宋体"/>
                <w:color w:val="auto"/>
                <w:sz w:val="24"/>
                <w:szCs w:val="24"/>
                <w:highlight w:val="none"/>
                <w:lang w:val="en-US" w:eastAsia="zh-CN"/>
              </w:rPr>
              <w:t>保证措施及承诺进行</w:t>
            </w:r>
            <w:r>
              <w:rPr>
                <w:rFonts w:hint="eastAsia" w:ascii="宋体" w:hAnsi="宋体" w:cs="宋体"/>
                <w:color w:val="auto"/>
                <w:sz w:val="24"/>
                <w:szCs w:val="24"/>
                <w:highlight w:val="none"/>
                <w:lang w:val="en-US" w:eastAsia="zh-CN"/>
              </w:rPr>
              <w:t>综合评价</w:t>
            </w:r>
            <w:r>
              <w:rPr>
                <w:rFonts w:hint="eastAsia" w:ascii="宋体" w:hAnsi="宋体" w:eastAsia="宋体" w:cs="宋体"/>
                <w:color w:val="auto"/>
                <w:sz w:val="24"/>
                <w:szCs w:val="24"/>
                <w:highlight w:val="none"/>
                <w:lang w:val="en-US" w:eastAsia="zh-CN"/>
              </w:rPr>
              <w:t>：</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交货期保证措施，进度计划切实合理的，承诺优于项目要求，得</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交货期保证措施，进度计划基本可行，满足项目要求，承诺合理得当的，得4分；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3、交货期保证措施，进度计划不完善、可操作性一般，承诺基本合理的，得1分；</w:t>
            </w:r>
          </w:p>
          <w:p>
            <w:pPr>
              <w:shd w:val="clear" w:color="auto" w:fill="auto"/>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未进行描述得0分。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shd w:val="clear" w:color="auto" w:fill="auto"/>
              <w:spacing w:line="360" w:lineRule="auto"/>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w:t>
            </w:r>
          </w:p>
        </w:tc>
        <w:tc>
          <w:tcPr>
            <w:tcW w:w="1555"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生产工艺</w:t>
            </w:r>
          </w:p>
        </w:tc>
        <w:tc>
          <w:tcPr>
            <w:tcW w:w="979" w:type="dxa"/>
            <w:noWrap w:val="0"/>
            <w:vAlign w:val="center"/>
          </w:tcPr>
          <w:p>
            <w:pPr>
              <w:keepNext w:val="0"/>
              <w:keepLines w:val="0"/>
              <w:pageBreakBefore w:val="0"/>
              <w:suppressLineNumbers w:val="0"/>
              <w:shd w:val="clear" w:color="auto" w:fill="auto"/>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0"/>
                <w:sz w:val="24"/>
                <w:szCs w:val="24"/>
                <w:highlight w:val="none"/>
                <w:lang w:val="en-US" w:eastAsia="zh-CN" w:bidi="ar-SA"/>
              </w:rPr>
              <w:t>6分</w:t>
            </w:r>
          </w:p>
        </w:tc>
        <w:tc>
          <w:tcPr>
            <w:tcW w:w="5196" w:type="dxa"/>
            <w:noWrap w:val="0"/>
            <w:vAlign w:val="center"/>
          </w:tcPr>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根据投标人</w:t>
            </w:r>
            <w:r>
              <w:rPr>
                <w:rFonts w:hint="eastAsia" w:ascii="宋体" w:hAnsi="宋体" w:eastAsia="宋体" w:cs="宋体"/>
                <w:color w:val="auto"/>
                <w:sz w:val="24"/>
                <w:szCs w:val="24"/>
                <w:highlight w:val="none"/>
                <w:lang w:val="en-US" w:eastAsia="zh-CN"/>
              </w:rPr>
              <w:t>针对生产工艺的指标、产品加工的工艺流程、关键生产工序、生产设备保障、工艺标准进行</w:t>
            </w:r>
            <w:r>
              <w:rPr>
                <w:rFonts w:hint="eastAsia" w:ascii="宋体" w:hAnsi="宋体" w:cs="宋体"/>
                <w:color w:val="auto"/>
                <w:sz w:val="24"/>
                <w:szCs w:val="24"/>
                <w:highlight w:val="none"/>
                <w:lang w:val="en-US" w:eastAsia="zh-CN"/>
              </w:rPr>
              <w:t>综合评价</w:t>
            </w:r>
            <w:r>
              <w:rPr>
                <w:rFonts w:hint="eastAsia" w:ascii="宋体" w:hAnsi="宋体" w:eastAsia="宋体" w:cs="宋体"/>
                <w:color w:val="auto"/>
                <w:sz w:val="24"/>
                <w:szCs w:val="24"/>
                <w:highlight w:val="none"/>
                <w:lang w:val="en-US" w:eastAsia="zh-CN"/>
              </w:rPr>
              <w:t>：</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生产工艺内容合理、规范、科学，内容完整、详细的得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生产工艺内容基本完整、详细的得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生产工艺内容笼统</w:t>
            </w:r>
            <w:r>
              <w:rPr>
                <w:rFonts w:hint="eastAsia" w:ascii="宋体" w:hAnsi="宋体" w:cs="宋体"/>
                <w:color w:val="auto"/>
                <w:sz w:val="24"/>
                <w:szCs w:val="24"/>
                <w:highlight w:val="none"/>
                <w:lang w:val="en-US" w:eastAsia="zh-CN"/>
              </w:rPr>
              <w:t>，标准</w:t>
            </w:r>
            <w:r>
              <w:rPr>
                <w:rFonts w:hint="eastAsia" w:ascii="宋体" w:hAnsi="宋体" w:eastAsia="宋体" w:cs="宋体"/>
                <w:color w:val="auto"/>
                <w:sz w:val="24"/>
                <w:szCs w:val="24"/>
                <w:highlight w:val="none"/>
                <w:lang w:val="en-US" w:eastAsia="zh-CN"/>
              </w:rPr>
              <w:t>的得1分；</w:t>
            </w:r>
          </w:p>
          <w:p>
            <w:pPr>
              <w:shd w:val="clear" w:color="auto" w:fill="auto"/>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未进行描述得0分。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shd w:val="clear" w:color="auto" w:fill="auto"/>
              <w:spacing w:line="360" w:lineRule="auto"/>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p>
        </w:tc>
        <w:tc>
          <w:tcPr>
            <w:tcW w:w="1555"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质量保证方案</w:t>
            </w:r>
          </w:p>
        </w:tc>
        <w:tc>
          <w:tcPr>
            <w:tcW w:w="979" w:type="dxa"/>
            <w:noWrap w:val="0"/>
            <w:vAlign w:val="center"/>
          </w:tcPr>
          <w:p>
            <w:pPr>
              <w:keepNext w:val="0"/>
              <w:keepLines w:val="0"/>
              <w:pageBreakBefore w:val="0"/>
              <w:suppressLineNumbers w:val="0"/>
              <w:shd w:val="clear" w:color="auto" w:fill="auto"/>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0"/>
                <w:sz w:val="24"/>
                <w:szCs w:val="24"/>
                <w:highlight w:val="none"/>
                <w:lang w:val="en-US" w:eastAsia="zh-CN" w:bidi="ar-SA"/>
              </w:rPr>
              <w:t>6分</w:t>
            </w:r>
          </w:p>
        </w:tc>
        <w:tc>
          <w:tcPr>
            <w:tcW w:w="5196" w:type="dxa"/>
            <w:noWrap w:val="0"/>
            <w:vAlign w:val="center"/>
          </w:tcPr>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根据投标人</w:t>
            </w:r>
            <w:r>
              <w:rPr>
                <w:rFonts w:hint="eastAsia" w:ascii="宋体" w:hAnsi="宋体" w:eastAsia="宋体" w:cs="宋体"/>
                <w:color w:val="auto"/>
                <w:sz w:val="24"/>
                <w:szCs w:val="24"/>
                <w:highlight w:val="none"/>
                <w:lang w:val="en-US" w:eastAsia="zh-CN"/>
              </w:rPr>
              <w:t>针对项目质量控制制度和方法、质量保证措施、检验制度、原材料和生产工序的检验验收方案、主要检测设备等方面进行</w:t>
            </w:r>
            <w:r>
              <w:rPr>
                <w:rFonts w:hint="eastAsia" w:ascii="宋体" w:hAnsi="宋体" w:cs="宋体"/>
                <w:color w:val="auto"/>
                <w:sz w:val="24"/>
                <w:szCs w:val="24"/>
                <w:highlight w:val="none"/>
                <w:lang w:val="en-US" w:eastAsia="zh-CN"/>
              </w:rPr>
              <w:t>综合评价</w:t>
            </w:r>
            <w:r>
              <w:rPr>
                <w:rFonts w:hint="eastAsia" w:ascii="宋体" w:hAnsi="宋体" w:eastAsia="宋体" w:cs="宋体"/>
                <w:color w:val="auto"/>
                <w:sz w:val="24"/>
                <w:szCs w:val="24"/>
                <w:highlight w:val="none"/>
                <w:lang w:val="en-US" w:eastAsia="zh-CN"/>
              </w:rPr>
              <w:t>：1、质量保证方案详细、全面、切实可行，质量保证措施合理、可行的得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质量保证方案基本可行，保证措施基本可行的得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质量保证缺乏可行性，保证措施有瑕疵的得1分；</w:t>
            </w:r>
          </w:p>
          <w:p>
            <w:pPr>
              <w:shd w:val="clear" w:color="auto" w:fill="auto"/>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未进行描述得0分。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restart"/>
            <w:noWrap w:val="0"/>
            <w:vAlign w:val="center"/>
          </w:tcPr>
          <w:p>
            <w:pPr>
              <w:shd w:val="clear" w:color="auto" w:fill="auto"/>
              <w:spacing w:line="360" w:lineRule="auto"/>
              <w:jc w:val="center"/>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商务</w:t>
            </w:r>
            <w:r>
              <w:rPr>
                <w:rFonts w:hint="eastAsia" w:ascii="宋体" w:hAnsi="宋体" w:eastAsia="宋体" w:cs="宋体"/>
                <w:b/>
                <w:bCs/>
                <w:color w:val="auto"/>
                <w:sz w:val="24"/>
                <w:szCs w:val="24"/>
                <w:highlight w:val="none"/>
              </w:rPr>
              <w:t>部分</w:t>
            </w:r>
          </w:p>
          <w:p>
            <w:pPr>
              <w:shd w:val="clear" w:color="auto" w:fill="auto"/>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30</w:t>
            </w:r>
            <w:r>
              <w:rPr>
                <w:rFonts w:hint="eastAsia" w:ascii="宋体" w:hAnsi="宋体" w:eastAsia="宋体" w:cs="宋体"/>
                <w:b/>
                <w:bCs/>
                <w:color w:val="auto"/>
                <w:kern w:val="0"/>
                <w:sz w:val="24"/>
                <w:szCs w:val="24"/>
                <w:highlight w:val="none"/>
                <w:lang w:val="en-US" w:eastAsia="zh-CN"/>
              </w:rPr>
              <w:t>分</w:t>
            </w:r>
            <w:r>
              <w:rPr>
                <w:rFonts w:hint="eastAsia" w:ascii="宋体" w:hAnsi="宋体" w:eastAsia="宋体" w:cs="宋体"/>
                <w:b/>
                <w:bCs/>
                <w:color w:val="auto"/>
                <w:kern w:val="0"/>
                <w:sz w:val="24"/>
                <w:szCs w:val="24"/>
                <w:highlight w:val="none"/>
                <w:lang w:eastAsia="zh-CN"/>
              </w:rPr>
              <w:t>）</w:t>
            </w:r>
          </w:p>
        </w:tc>
        <w:tc>
          <w:tcPr>
            <w:tcW w:w="733" w:type="dxa"/>
            <w:tcBorders>
              <w:top w:val="single" w:color="auto" w:sz="4" w:space="0"/>
            </w:tcBorders>
            <w:noWrap w:val="0"/>
            <w:vAlign w:val="center"/>
          </w:tcPr>
          <w:p>
            <w:pPr>
              <w:widowControl/>
              <w:numPr>
                <w:ilvl w:val="-1"/>
                <w:numId w:val="0"/>
              </w:numPr>
              <w:shd w:val="clear" w:color="auto" w:fill="auto"/>
              <w:tabs>
                <w:tab w:val="left" w:pos="220"/>
              </w:tabs>
              <w:spacing w:line="360" w:lineRule="auto"/>
              <w:ind w:left="0" w:leftChars="0" w:firstLine="0" w:firstLineChars="0"/>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p>
        </w:tc>
        <w:tc>
          <w:tcPr>
            <w:tcW w:w="1555" w:type="dxa"/>
            <w:tcBorders>
              <w:top w:val="single" w:color="auto" w:sz="4" w:space="0"/>
            </w:tcBorders>
            <w:noWrap w:val="0"/>
            <w:vAlign w:val="center"/>
          </w:tcPr>
          <w:p>
            <w:pPr>
              <w:shd w:val="clear" w:color="auto" w:fill="auto"/>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管理认证体系</w:t>
            </w:r>
          </w:p>
        </w:tc>
        <w:tc>
          <w:tcPr>
            <w:tcW w:w="979" w:type="dxa"/>
            <w:tcBorders>
              <w:top w:val="single" w:color="auto" w:sz="4" w:space="0"/>
            </w:tcBorders>
            <w:noWrap w:val="0"/>
            <w:vAlign w:val="center"/>
          </w:tcPr>
          <w:p>
            <w:pPr>
              <w:shd w:val="clear" w:color="auto" w:fill="auto"/>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c>
          <w:tcPr>
            <w:tcW w:w="5196" w:type="dxa"/>
            <w:tcBorders>
              <w:top w:val="single" w:color="auto" w:sz="4" w:space="0"/>
            </w:tcBorders>
            <w:noWrap w:val="0"/>
            <w:vAlign w:val="center"/>
          </w:tcPr>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投标人管理体系认证情况：</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1、投标人具有有效的质量管理体系认证证书的，得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2、投标人具有有效的环境管理体系认证证书的，得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3、投标人具有有效的职业健康安全管理体系认证证书的，得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本项最高得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分，不提供不得分。</w:t>
            </w:r>
          </w:p>
          <w:p>
            <w:pPr>
              <w:shd w:val="clear" w:color="auto" w:fill="auto"/>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【注：（1）截止本项目投标之日，以上证书须在有效期范围内，否则不得分。（2）须提供相关认证证书复印件及国家认监委官方网页http://www.cnca.gov.cn/查询截图加盖供应商公章作为得分依据，不提供不得分。】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widowControl/>
              <w:shd w:val="clear" w:color="auto" w:fill="auto"/>
              <w:tabs>
                <w:tab w:val="left" w:pos="220"/>
                <w:tab w:val="left" w:pos="420"/>
              </w:tabs>
              <w:spacing w:line="360" w:lineRule="auto"/>
              <w:ind w:left="425" w:leftChars="0" w:hanging="425" w:firstLineChars="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2</w:t>
            </w:r>
          </w:p>
        </w:tc>
        <w:tc>
          <w:tcPr>
            <w:tcW w:w="1555" w:type="dxa"/>
            <w:noWrap w:val="0"/>
            <w:vAlign w:val="center"/>
          </w:tcPr>
          <w:p>
            <w:pPr>
              <w:shd w:val="clear" w:color="auto" w:fill="auto"/>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同类项</w:t>
            </w:r>
            <w:r>
              <w:rPr>
                <w:rFonts w:hint="eastAsia" w:ascii="宋体" w:hAnsi="宋体" w:cs="宋体"/>
                <w:color w:val="auto"/>
                <w:sz w:val="24"/>
                <w:szCs w:val="24"/>
                <w:highlight w:val="none"/>
                <w:lang w:val="en-US" w:eastAsia="zh-CN"/>
              </w:rPr>
              <w:t>目</w:t>
            </w:r>
            <w:r>
              <w:rPr>
                <w:rFonts w:hint="eastAsia" w:ascii="宋体" w:hAnsi="宋体" w:eastAsia="宋体" w:cs="宋体"/>
                <w:color w:val="auto"/>
                <w:sz w:val="24"/>
                <w:szCs w:val="24"/>
                <w:highlight w:val="none"/>
                <w:lang w:val="en-US" w:eastAsia="zh-CN"/>
              </w:rPr>
              <w:t>业绩</w:t>
            </w:r>
          </w:p>
        </w:tc>
        <w:tc>
          <w:tcPr>
            <w:tcW w:w="979" w:type="dxa"/>
            <w:noWrap w:val="0"/>
            <w:vAlign w:val="center"/>
          </w:tcPr>
          <w:p>
            <w:pPr>
              <w:shd w:val="clear" w:color="auto" w:fill="auto"/>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bidi="ar-SA"/>
              </w:rPr>
              <w:t>6分</w:t>
            </w:r>
          </w:p>
        </w:tc>
        <w:tc>
          <w:tcPr>
            <w:tcW w:w="5196" w:type="dxa"/>
            <w:noWrap w:val="0"/>
            <w:vAlign w:val="center"/>
          </w:tcPr>
          <w:p>
            <w:pPr>
              <w:shd w:val="clear" w:color="auto" w:fill="auto"/>
              <w:spacing w:line="360" w:lineRule="auto"/>
              <w:jc w:val="left"/>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投标人自2020年1月1日</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时间以合同签订时间为准</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以来具有</w:t>
            </w:r>
            <w:r>
              <w:rPr>
                <w:rFonts w:hint="eastAsia" w:ascii="宋体" w:hAnsi="宋体" w:cs="宋体"/>
                <w:color w:val="auto"/>
                <w:sz w:val="24"/>
                <w:szCs w:val="24"/>
                <w:highlight w:val="none"/>
                <w:lang w:val="en-US" w:eastAsia="zh-CN"/>
              </w:rPr>
              <w:t>同类</w:t>
            </w:r>
            <w:r>
              <w:rPr>
                <w:rFonts w:hint="eastAsia" w:ascii="宋体" w:hAnsi="宋体" w:eastAsia="宋体" w:cs="宋体"/>
                <w:color w:val="auto"/>
                <w:sz w:val="24"/>
                <w:szCs w:val="24"/>
                <w:highlight w:val="none"/>
                <w:lang w:val="en-US" w:eastAsia="zh-CN"/>
              </w:rPr>
              <w:t>项目业绩，每有一项得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分，最多得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r>
              <w:rPr>
                <w:rFonts w:hint="eastAsia" w:ascii="宋体" w:hAnsi="宋体" w:cs="宋体"/>
                <w:color w:val="auto"/>
                <w:sz w:val="24"/>
                <w:szCs w:val="24"/>
                <w:highlight w:val="none"/>
                <w:lang w:val="en-US" w:eastAsia="zh-CN"/>
              </w:rPr>
              <w:t>。</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【注：提供合同复印件</w:t>
            </w:r>
            <w:r>
              <w:rPr>
                <w:rFonts w:hint="eastAsia" w:ascii="宋体" w:hAnsi="宋体" w:cs="宋体"/>
                <w:color w:val="auto"/>
                <w:sz w:val="24"/>
                <w:szCs w:val="24"/>
                <w:highlight w:val="none"/>
                <w:lang w:val="en-US" w:eastAsia="zh-CN"/>
              </w:rPr>
              <w:t>并加盖投标人公章</w:t>
            </w:r>
            <w:r>
              <w:rPr>
                <w:rFonts w:hint="eastAsia" w:ascii="宋体" w:hAnsi="宋体" w:eastAsia="宋体" w:cs="宋体"/>
                <w:color w:val="auto"/>
                <w:sz w:val="24"/>
                <w:szCs w:val="24"/>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widowControl/>
              <w:shd w:val="clear" w:color="auto" w:fill="auto"/>
              <w:tabs>
                <w:tab w:val="left" w:pos="220"/>
                <w:tab w:val="left" w:pos="420"/>
              </w:tabs>
              <w:spacing w:line="360" w:lineRule="auto"/>
              <w:ind w:left="425" w:leftChars="0" w:hanging="425" w:firstLine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3</w:t>
            </w:r>
          </w:p>
        </w:tc>
        <w:tc>
          <w:tcPr>
            <w:tcW w:w="1555" w:type="dxa"/>
            <w:noWrap w:val="0"/>
            <w:vAlign w:val="center"/>
          </w:tcPr>
          <w:p>
            <w:pPr>
              <w:shd w:val="clear" w:color="auto" w:fill="auto"/>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拟投入项目团队管理人员</w:t>
            </w:r>
          </w:p>
        </w:tc>
        <w:tc>
          <w:tcPr>
            <w:tcW w:w="979"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分</w:t>
            </w:r>
          </w:p>
        </w:tc>
        <w:tc>
          <w:tcPr>
            <w:tcW w:w="5196" w:type="dxa"/>
            <w:noWrap w:val="0"/>
            <w:vAlign w:val="center"/>
          </w:tcPr>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拟投入项目团队管理人员数量：</w:t>
            </w:r>
          </w:p>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项目团队管理人员提供</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人的得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分，每增加一人得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分，最高得</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 xml:space="preserve">分。 </w:t>
            </w:r>
          </w:p>
          <w:p>
            <w:pPr>
              <w:shd w:val="clear" w:color="auto" w:fill="auto"/>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【注：提供拟派人员相关证书复印件以及人员在</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单位缴纳的近3个月（扣除投标邀请书发出当月起往前顺推）社保证明复印件并加盖供应商公章。不提供或提供不全不得分。】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widowControl/>
              <w:shd w:val="clear" w:color="auto" w:fill="auto"/>
              <w:tabs>
                <w:tab w:val="left" w:pos="220"/>
                <w:tab w:val="left" w:pos="420"/>
              </w:tabs>
              <w:spacing w:line="360" w:lineRule="auto"/>
              <w:ind w:left="425" w:leftChars="0" w:hanging="425" w:firstLineChars="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4</w:t>
            </w:r>
          </w:p>
        </w:tc>
        <w:tc>
          <w:tcPr>
            <w:tcW w:w="1555"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售后服务方案</w:t>
            </w:r>
          </w:p>
        </w:tc>
        <w:tc>
          <w:tcPr>
            <w:tcW w:w="979"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bidi="ar-SA"/>
              </w:rPr>
              <w:t>7分</w:t>
            </w:r>
          </w:p>
        </w:tc>
        <w:tc>
          <w:tcPr>
            <w:tcW w:w="5196" w:type="dxa"/>
            <w:noWrap w:val="0"/>
            <w:vAlign w:val="top"/>
          </w:tcPr>
          <w:p>
            <w:p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根据投标人</w:t>
            </w:r>
            <w:r>
              <w:rPr>
                <w:rFonts w:hint="eastAsia" w:ascii="宋体" w:hAnsi="宋体" w:eastAsia="宋体" w:cs="宋体"/>
                <w:color w:val="auto"/>
                <w:sz w:val="24"/>
                <w:szCs w:val="24"/>
                <w:highlight w:val="none"/>
                <w:lang w:val="en-US" w:eastAsia="zh-CN"/>
              </w:rPr>
              <w:t>提供针对售后服务方案</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包括</w:t>
            </w:r>
            <w:r>
              <w:rPr>
                <w:rFonts w:hint="eastAsia" w:ascii="宋体" w:hAnsi="宋体" w:cs="宋体"/>
                <w:color w:val="auto"/>
                <w:sz w:val="24"/>
                <w:szCs w:val="24"/>
                <w:highlight w:val="none"/>
                <w:lang w:val="en-US" w:eastAsia="zh-CN"/>
              </w:rPr>
              <w:t>不限于</w:t>
            </w:r>
            <w:r>
              <w:rPr>
                <w:rFonts w:hint="eastAsia" w:ascii="宋体" w:hAnsi="宋体" w:eastAsia="宋体" w:cs="宋体"/>
                <w:color w:val="auto"/>
                <w:sz w:val="24"/>
                <w:szCs w:val="24"/>
                <w:highlight w:val="none"/>
                <w:lang w:val="en-US" w:eastAsia="zh-CN"/>
              </w:rPr>
              <w:t>售后质保措施、针对</w:t>
            </w:r>
            <w:r>
              <w:rPr>
                <w:rFonts w:hint="eastAsia" w:ascii="宋体" w:hAnsi="宋体" w:cs="宋体"/>
                <w:color w:val="auto"/>
                <w:sz w:val="24"/>
                <w:szCs w:val="24"/>
                <w:highlight w:val="none"/>
                <w:lang w:val="en-US" w:eastAsia="zh-CN"/>
              </w:rPr>
              <w:t>托盘</w:t>
            </w:r>
            <w:r>
              <w:rPr>
                <w:rFonts w:hint="eastAsia" w:ascii="宋体" w:hAnsi="宋体" w:eastAsia="宋体" w:cs="宋体"/>
                <w:color w:val="auto"/>
                <w:sz w:val="24"/>
                <w:szCs w:val="24"/>
                <w:highlight w:val="none"/>
                <w:lang w:val="en-US" w:eastAsia="zh-CN"/>
              </w:rPr>
              <w:t>提供有针对的售后服务内容、应急处理、定期巡检、易损易耗零配件承诺等</w:t>
            </w:r>
            <w:r>
              <w:rPr>
                <w:rFonts w:hint="eastAsia" w:ascii="宋体" w:hAnsi="宋体" w:cs="宋体"/>
                <w:color w:val="auto"/>
                <w:sz w:val="24"/>
                <w:szCs w:val="24"/>
                <w:highlight w:val="none"/>
                <w:lang w:val="en-US" w:eastAsia="zh-CN"/>
              </w:rPr>
              <w:t>）进</w:t>
            </w:r>
            <w:r>
              <w:rPr>
                <w:rFonts w:hint="eastAsia" w:ascii="宋体" w:hAnsi="宋体" w:eastAsia="宋体" w:cs="宋体"/>
                <w:color w:val="auto"/>
                <w:sz w:val="24"/>
                <w:szCs w:val="24"/>
                <w:highlight w:val="none"/>
                <w:lang w:val="en-US" w:eastAsia="zh-CN"/>
              </w:rPr>
              <w:t>行</w:t>
            </w:r>
            <w:r>
              <w:rPr>
                <w:rFonts w:hint="eastAsia" w:ascii="宋体" w:hAnsi="宋体" w:cs="宋体"/>
                <w:color w:val="auto"/>
                <w:sz w:val="24"/>
                <w:szCs w:val="24"/>
                <w:highlight w:val="none"/>
                <w:lang w:val="en-US" w:eastAsia="zh-CN"/>
              </w:rPr>
              <w:t>综合评价</w:t>
            </w:r>
            <w:r>
              <w:rPr>
                <w:rFonts w:hint="eastAsia" w:ascii="宋体" w:hAnsi="宋体" w:eastAsia="宋体" w:cs="宋体"/>
                <w:color w:val="auto"/>
                <w:sz w:val="24"/>
                <w:szCs w:val="24"/>
                <w:highlight w:val="none"/>
                <w:lang w:val="en-US" w:eastAsia="zh-CN"/>
              </w:rPr>
              <w:t>：</w:t>
            </w:r>
          </w:p>
          <w:p>
            <w:pPr>
              <w:numPr>
                <w:ilvl w:val="0"/>
                <w:numId w:val="60"/>
              </w:num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售后服务条款清晰详细，服务内容明确，技术支持充分满足项目要求，有具体售后服务承诺的，得7分；</w:t>
            </w:r>
          </w:p>
          <w:p>
            <w:pPr>
              <w:numPr>
                <w:ilvl w:val="0"/>
                <w:numId w:val="60"/>
              </w:num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售后服务较为详细，服务内容较为明确，技术支持满足</w:t>
            </w: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lang w:val="en-US" w:eastAsia="zh-CN"/>
              </w:rPr>
              <w:t>要求</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有提供售后服务承诺的，得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w:t>
            </w:r>
          </w:p>
          <w:p>
            <w:pPr>
              <w:numPr>
                <w:ilvl w:val="0"/>
                <w:numId w:val="60"/>
              </w:num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售后服务及技术支持基本满足</w:t>
            </w: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lang w:val="en-US" w:eastAsia="zh-CN"/>
              </w:rPr>
              <w:t>要求</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售后服务承诺不够具体的，得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w:t>
            </w:r>
          </w:p>
          <w:p>
            <w:pPr>
              <w:numPr>
                <w:ilvl w:val="0"/>
                <w:numId w:val="60"/>
              </w:num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未进行描述得0分。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18" w:type="dxa"/>
            <w:vMerge w:val="continue"/>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noWrap w:val="0"/>
            <w:vAlign w:val="center"/>
          </w:tcPr>
          <w:p>
            <w:pPr>
              <w:widowControl/>
              <w:shd w:val="clear" w:color="auto" w:fill="auto"/>
              <w:tabs>
                <w:tab w:val="left" w:pos="220"/>
                <w:tab w:val="left" w:pos="420"/>
              </w:tabs>
              <w:spacing w:line="360" w:lineRule="auto"/>
              <w:ind w:left="425" w:leftChars="0" w:hanging="425" w:firstLineChars="0"/>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w:t>
            </w:r>
          </w:p>
        </w:tc>
        <w:tc>
          <w:tcPr>
            <w:tcW w:w="1555" w:type="dxa"/>
            <w:noWrap w:val="0"/>
            <w:vAlign w:val="center"/>
          </w:tcPr>
          <w:p>
            <w:pPr>
              <w:shd w:val="clear" w:color="auto" w:fill="auto"/>
              <w:spacing w:line="360" w:lineRule="auto"/>
              <w:jc w:val="center"/>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响应时间</w:t>
            </w:r>
          </w:p>
        </w:tc>
        <w:tc>
          <w:tcPr>
            <w:tcW w:w="979"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yellow"/>
                <w:lang w:val="en-US" w:eastAsia="zh-CN" w:bidi="ar-SA"/>
              </w:rPr>
            </w:pPr>
            <w:r>
              <w:rPr>
                <w:rFonts w:hint="eastAsia" w:ascii="宋体" w:hAnsi="宋体" w:cs="宋体"/>
                <w:color w:val="auto"/>
                <w:kern w:val="0"/>
                <w:sz w:val="24"/>
                <w:szCs w:val="24"/>
                <w:highlight w:val="none"/>
                <w:lang w:val="en-US" w:eastAsia="zh-CN" w:bidi="ar-SA"/>
              </w:rPr>
              <w:t>5分</w:t>
            </w:r>
          </w:p>
        </w:tc>
        <w:tc>
          <w:tcPr>
            <w:tcW w:w="5196" w:type="dxa"/>
            <w:noWrap w:val="0"/>
            <w:vAlign w:val="top"/>
          </w:tcPr>
          <w:p>
            <w:pPr>
              <w:numPr>
                <w:ilvl w:val="0"/>
                <w:numId w:val="61"/>
              </w:num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投标人承诺</w:t>
            </w:r>
            <w:r>
              <w:rPr>
                <w:rFonts w:hint="eastAsia" w:ascii="宋体" w:hAnsi="宋体" w:eastAsia="宋体" w:cs="宋体"/>
                <w:color w:val="auto"/>
                <w:kern w:val="2"/>
                <w:sz w:val="24"/>
                <w:szCs w:val="24"/>
                <w:highlight w:val="none"/>
                <w:lang w:val="en-US" w:eastAsia="zh-CN" w:bidi="ar-SA"/>
              </w:rPr>
              <w:t>质保期内，货物出现质量问题，接到质量问题通知后</w:t>
            </w:r>
            <w:r>
              <w:rPr>
                <w:rFonts w:hint="eastAsia" w:ascii="宋体" w:hAnsi="宋体" w:eastAsia="宋体" w:cs="宋体"/>
                <w:b/>
                <w:bCs/>
                <w:color w:val="auto"/>
                <w:kern w:val="2"/>
                <w:sz w:val="24"/>
                <w:szCs w:val="24"/>
                <w:highlight w:val="none"/>
                <w:lang w:val="en-US" w:eastAsia="zh-CN" w:bidi="ar-SA"/>
              </w:rPr>
              <w:t>1个小时</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kern w:val="2"/>
                <w:sz w:val="24"/>
                <w:szCs w:val="24"/>
                <w:highlight w:val="none"/>
                <w:lang w:val="en-US" w:eastAsia="zh-CN" w:bidi="ar-SA"/>
              </w:rPr>
              <w:t>内响应</w:t>
            </w:r>
            <w:r>
              <w:rPr>
                <w:rFonts w:hint="eastAsia" w:ascii="宋体" w:hAnsi="宋体" w:cs="宋体"/>
                <w:color w:val="auto"/>
                <w:kern w:val="2"/>
                <w:sz w:val="24"/>
                <w:szCs w:val="24"/>
                <w:highlight w:val="none"/>
                <w:lang w:val="en-US" w:eastAsia="zh-CN" w:bidi="ar-SA"/>
              </w:rPr>
              <w:t>的</w:t>
            </w:r>
            <w:r>
              <w:rPr>
                <w:rFonts w:hint="eastAsia" w:ascii="宋体" w:hAnsi="宋体" w:eastAsia="宋体" w:cs="宋体"/>
                <w:color w:val="auto"/>
                <w:kern w:val="2"/>
                <w:sz w:val="24"/>
                <w:szCs w:val="24"/>
                <w:highlight w:val="none"/>
                <w:lang w:val="en-US" w:eastAsia="zh-CN" w:bidi="ar-SA"/>
              </w:rPr>
              <w:t>，24个小时内提供处理方案，</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个工作日内解决问题</w:t>
            </w:r>
            <w:r>
              <w:rPr>
                <w:rFonts w:hint="eastAsia" w:ascii="宋体" w:hAnsi="宋体" w:cs="宋体"/>
                <w:color w:val="auto"/>
                <w:kern w:val="2"/>
                <w:sz w:val="24"/>
                <w:szCs w:val="24"/>
                <w:highlight w:val="none"/>
                <w:lang w:val="en-US" w:eastAsia="zh-CN" w:bidi="ar-SA"/>
              </w:rPr>
              <w:t>的，得5分；</w:t>
            </w:r>
          </w:p>
          <w:p>
            <w:pPr>
              <w:numPr>
                <w:ilvl w:val="0"/>
                <w:numId w:val="61"/>
              </w:numPr>
              <w:shd w:val="clear" w:color="auto" w:fill="auto"/>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投标人承诺</w:t>
            </w:r>
            <w:r>
              <w:rPr>
                <w:rFonts w:hint="eastAsia" w:ascii="宋体" w:hAnsi="宋体" w:eastAsia="宋体" w:cs="宋体"/>
                <w:color w:val="auto"/>
                <w:kern w:val="2"/>
                <w:sz w:val="24"/>
                <w:szCs w:val="24"/>
                <w:highlight w:val="none"/>
                <w:lang w:val="en-US" w:eastAsia="zh-CN" w:bidi="ar-SA"/>
              </w:rPr>
              <w:t>质保期内，货物出现质量问题，接到质量问题通知后</w:t>
            </w:r>
            <w:r>
              <w:rPr>
                <w:rFonts w:hint="eastAsia" w:ascii="宋体" w:hAnsi="宋体" w:cs="宋体"/>
                <w:b/>
                <w:bCs/>
                <w:color w:val="auto"/>
                <w:kern w:val="2"/>
                <w:sz w:val="24"/>
                <w:szCs w:val="24"/>
                <w:highlight w:val="none"/>
                <w:lang w:val="en-US" w:eastAsia="zh-CN" w:bidi="ar-SA"/>
              </w:rPr>
              <w:t>2</w:t>
            </w:r>
            <w:r>
              <w:rPr>
                <w:rFonts w:hint="eastAsia" w:ascii="宋体" w:hAnsi="宋体" w:eastAsia="宋体" w:cs="宋体"/>
                <w:b/>
                <w:bCs/>
                <w:color w:val="auto"/>
                <w:kern w:val="2"/>
                <w:sz w:val="24"/>
                <w:szCs w:val="24"/>
                <w:highlight w:val="none"/>
                <w:lang w:val="en-US" w:eastAsia="zh-CN" w:bidi="ar-SA"/>
              </w:rPr>
              <w:t>个小时</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kern w:val="2"/>
                <w:sz w:val="24"/>
                <w:szCs w:val="24"/>
                <w:highlight w:val="none"/>
                <w:lang w:val="en-US" w:eastAsia="zh-CN" w:bidi="ar-SA"/>
              </w:rPr>
              <w:t>内响应</w:t>
            </w:r>
            <w:r>
              <w:rPr>
                <w:rFonts w:hint="eastAsia" w:ascii="宋体" w:hAnsi="宋体" w:cs="宋体"/>
                <w:color w:val="auto"/>
                <w:kern w:val="2"/>
                <w:sz w:val="24"/>
                <w:szCs w:val="24"/>
                <w:highlight w:val="none"/>
                <w:lang w:val="en-US" w:eastAsia="zh-CN" w:bidi="ar-SA"/>
              </w:rPr>
              <w:t>的</w:t>
            </w:r>
            <w:r>
              <w:rPr>
                <w:rFonts w:hint="eastAsia" w:ascii="宋体" w:hAnsi="宋体" w:eastAsia="宋体" w:cs="宋体"/>
                <w:color w:val="auto"/>
                <w:kern w:val="2"/>
                <w:sz w:val="24"/>
                <w:szCs w:val="24"/>
                <w:highlight w:val="none"/>
                <w:lang w:val="en-US" w:eastAsia="zh-CN" w:bidi="ar-SA"/>
              </w:rPr>
              <w:t>，24个小时内提供处理方案，</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个工作日内解决问题</w:t>
            </w:r>
            <w:r>
              <w:rPr>
                <w:rFonts w:hint="eastAsia" w:ascii="宋体" w:hAnsi="宋体" w:cs="宋体"/>
                <w:color w:val="auto"/>
                <w:kern w:val="2"/>
                <w:sz w:val="24"/>
                <w:szCs w:val="24"/>
                <w:highlight w:val="none"/>
                <w:lang w:val="en-US" w:eastAsia="zh-CN" w:bidi="ar-SA"/>
              </w:rPr>
              <w:t>的，得2分。</w:t>
            </w:r>
          </w:p>
          <w:p>
            <w:pPr>
              <w:numPr>
                <w:ilvl w:val="0"/>
                <w:numId w:val="0"/>
              </w:numPr>
              <w:shd w:val="clear" w:color="auto" w:fill="auto"/>
              <w:spacing w:line="360" w:lineRule="auto"/>
              <w:ind w:left="0" w:leftChars="0" w:firstLine="0" w:firstLineChars="0"/>
              <w:jc w:val="left"/>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【注：提供</w:t>
            </w:r>
            <w:r>
              <w:rPr>
                <w:rFonts w:hint="eastAsia" w:ascii="宋体" w:hAnsi="宋体" w:cs="宋体"/>
                <w:color w:val="auto"/>
                <w:sz w:val="24"/>
                <w:szCs w:val="24"/>
                <w:highlight w:val="none"/>
                <w:lang w:val="en-US" w:eastAsia="zh-CN"/>
              </w:rPr>
              <w:t>承诺函（格式自拟）并加盖投标人公章</w:t>
            </w:r>
            <w:r>
              <w:rPr>
                <w:rFonts w:hint="eastAsia" w:ascii="宋体" w:hAnsi="宋体" w:eastAsia="宋体" w:cs="宋体"/>
                <w:color w:val="auto"/>
                <w:sz w:val="24"/>
                <w:szCs w:val="24"/>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1218"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sz w:val="24"/>
                <w:szCs w:val="24"/>
                <w:highlight w:val="none"/>
              </w:rPr>
              <w:t>价格部分</w:t>
            </w: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30</w:t>
            </w:r>
            <w:r>
              <w:rPr>
                <w:rFonts w:hint="eastAsia" w:ascii="宋体" w:hAnsi="宋体" w:eastAsia="宋体" w:cs="宋体"/>
                <w:b/>
                <w:bCs/>
                <w:color w:val="auto"/>
                <w:sz w:val="24"/>
                <w:szCs w:val="24"/>
                <w:highlight w:val="none"/>
                <w:lang w:val="en-US" w:eastAsia="zh-CN"/>
              </w:rPr>
              <w:t>分</w:t>
            </w:r>
            <w:r>
              <w:rPr>
                <w:rFonts w:hint="eastAsia" w:ascii="宋体" w:hAnsi="宋体" w:eastAsia="宋体" w:cs="宋体"/>
                <w:b/>
                <w:bCs/>
                <w:color w:val="auto"/>
                <w:sz w:val="24"/>
                <w:szCs w:val="24"/>
                <w:highlight w:val="none"/>
                <w:lang w:eastAsia="zh-CN"/>
              </w:rPr>
              <w:t>）</w:t>
            </w:r>
          </w:p>
        </w:tc>
        <w:tc>
          <w:tcPr>
            <w:tcW w:w="733"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w:t>
            </w:r>
          </w:p>
        </w:tc>
        <w:tc>
          <w:tcPr>
            <w:tcW w:w="1555" w:type="dxa"/>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投标报价得分</w:t>
            </w:r>
          </w:p>
        </w:tc>
        <w:tc>
          <w:tcPr>
            <w:tcW w:w="979" w:type="dxa"/>
            <w:noWrap w:val="0"/>
            <w:vAlign w:val="center"/>
          </w:tcPr>
          <w:p>
            <w:pPr>
              <w:shd w:val="clear" w:color="auto" w:fill="auto"/>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分</w:t>
            </w:r>
          </w:p>
        </w:tc>
        <w:tc>
          <w:tcPr>
            <w:tcW w:w="5196" w:type="dxa"/>
            <w:noWrap w:val="0"/>
            <w:vAlign w:val="center"/>
          </w:tcPr>
          <w:p>
            <w:pPr>
              <w:shd w:val="clear" w:color="auto" w:fill="auto"/>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w:t>
            </w:r>
            <w:r>
              <w:rPr>
                <w:rFonts w:hint="eastAsia" w:ascii="宋体" w:hAnsi="宋体" w:eastAsia="宋体" w:cs="宋体"/>
                <w:color w:val="auto"/>
                <w:sz w:val="24"/>
                <w:szCs w:val="24"/>
                <w:highlight w:val="none"/>
                <w:lang w:eastAsia="zh-CN"/>
              </w:rPr>
              <w:t>价格最低</w:t>
            </w:r>
            <w:r>
              <w:rPr>
                <w:rFonts w:hint="eastAsia" w:ascii="宋体" w:hAnsi="宋体" w:eastAsia="宋体" w:cs="宋体"/>
                <w:color w:val="auto"/>
                <w:sz w:val="24"/>
                <w:szCs w:val="24"/>
                <w:highlight w:val="none"/>
              </w:rPr>
              <w:t>的投标报价为评标基准价，其价格分为满分。其他</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的价格分统一按照下列公式计算：</w:t>
            </w:r>
          </w:p>
          <w:p>
            <w:pPr>
              <w:shd w:val="clear" w:color="auto" w:fill="auto"/>
              <w:spacing w:line="360" w:lineRule="auto"/>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投标报价得分=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评标基准价÷投标报价</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×价格</w:t>
            </w:r>
            <w:r>
              <w:rPr>
                <w:rFonts w:hint="eastAsia" w:ascii="宋体" w:hAnsi="宋体" w:eastAsia="宋体" w:cs="宋体"/>
                <w:b/>
                <w:color w:val="auto"/>
                <w:sz w:val="24"/>
                <w:szCs w:val="24"/>
                <w:highlight w:val="none"/>
                <w:lang w:eastAsia="zh-CN"/>
              </w:rPr>
              <w:t>分值</w:t>
            </w:r>
          </w:p>
          <w:p>
            <w:pPr>
              <w:shd w:val="clear" w:color="auto" w:fill="auto"/>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注：除计算错误外，评标基准价不因招投标当事人质疑、投诉、复议以及其它任何情形而改变。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218" w:type="dxa"/>
            <w:vMerge w:val="restart"/>
            <w:tcBorders>
              <w:top w:val="double" w:color="auto" w:sz="4" w:space="0"/>
              <w:bottom w:val="single" w:color="auto" w:sz="4" w:space="0"/>
            </w:tcBorders>
            <w:noWrap w:val="0"/>
            <w:vAlign w:val="center"/>
          </w:tcPr>
          <w:p>
            <w:pPr>
              <w:shd w:val="clear" w:color="auto" w:fill="auto"/>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综合总得分计算公式</w:t>
            </w:r>
          </w:p>
        </w:tc>
        <w:tc>
          <w:tcPr>
            <w:tcW w:w="733" w:type="dxa"/>
            <w:tcBorders>
              <w:top w:val="double" w:color="auto" w:sz="4" w:space="0"/>
              <w:bottom w:val="single" w:color="auto" w:sz="4" w:space="0"/>
            </w:tcBorders>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534" w:type="dxa"/>
            <w:gridSpan w:val="2"/>
            <w:tcBorders>
              <w:top w:val="double" w:color="auto" w:sz="4" w:space="0"/>
              <w:bottom w:val="single" w:color="auto" w:sz="4" w:space="0"/>
            </w:tcBorders>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单项部分得分</w:t>
            </w:r>
          </w:p>
        </w:tc>
        <w:tc>
          <w:tcPr>
            <w:tcW w:w="5196" w:type="dxa"/>
            <w:tcBorders>
              <w:top w:val="double" w:color="auto" w:sz="4" w:space="0"/>
              <w:bottom w:val="single" w:color="auto" w:sz="4" w:space="0"/>
            </w:tcBorders>
            <w:noWrap w:val="0"/>
            <w:vAlign w:val="center"/>
          </w:tcPr>
          <w:p>
            <w:pPr>
              <w:shd w:val="clear" w:color="auto" w:fill="auto"/>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各评委评分总和÷评委人数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18" w:type="dxa"/>
            <w:vMerge w:val="continue"/>
            <w:tcBorders>
              <w:bottom w:val="single" w:color="auto" w:sz="4" w:space="0"/>
            </w:tcBorders>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p>
        </w:tc>
        <w:tc>
          <w:tcPr>
            <w:tcW w:w="733" w:type="dxa"/>
            <w:tcBorders>
              <w:top w:val="single" w:color="auto" w:sz="4" w:space="0"/>
            </w:tcBorders>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534" w:type="dxa"/>
            <w:gridSpan w:val="2"/>
            <w:tcBorders>
              <w:top w:val="single" w:color="auto" w:sz="4" w:space="0"/>
            </w:tcBorders>
            <w:noWrap w:val="0"/>
            <w:vAlign w:val="center"/>
          </w:tcPr>
          <w:p>
            <w:pPr>
              <w:shd w:val="clear" w:color="auto" w:fill="auto"/>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最终得分</w:t>
            </w:r>
          </w:p>
        </w:tc>
        <w:tc>
          <w:tcPr>
            <w:tcW w:w="5196" w:type="dxa"/>
            <w:tcBorders>
              <w:top w:val="single" w:color="auto" w:sz="4" w:space="0"/>
            </w:tcBorders>
            <w:noWrap w:val="0"/>
            <w:vAlign w:val="center"/>
          </w:tcPr>
          <w:p>
            <w:pPr>
              <w:shd w:val="clear" w:color="auto" w:fill="auto"/>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技术部分得分＋商务部分得分＋价格部分得分</w:t>
            </w:r>
          </w:p>
          <w:p>
            <w:pPr>
              <w:shd w:val="clear" w:color="auto" w:fill="auto"/>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注：汇总计算时将按四舍五入的原则精确至小数点后两位，如9.99。</w:t>
            </w:r>
          </w:p>
        </w:tc>
      </w:tr>
    </w:tbl>
    <w:p>
      <w:pPr>
        <w:rPr>
          <w:rFonts w:hint="eastAsia"/>
          <w:lang w:val="en-GB"/>
        </w:rPr>
      </w:pPr>
      <w:bookmarkStart w:id="119" w:name="_Toc17994"/>
      <w:r>
        <w:rPr>
          <w:rFonts w:hint="eastAsia"/>
          <w:lang w:val="en-GB"/>
        </w:rPr>
        <w:br w:type="page"/>
      </w:r>
    </w:p>
    <w:p>
      <w:pPr>
        <w:shd w:val="clear" w:color="auto" w:fill="auto"/>
        <w:spacing w:after="93" w:afterLines="30" w:line="336" w:lineRule="auto"/>
        <w:ind w:right="-178" w:rightChars="-85"/>
        <w:jc w:val="center"/>
        <w:outlineLvl w:val="1"/>
        <w:rPr>
          <w:rFonts w:hint="eastAsia" w:ascii="宋体" w:hAnsi="宋体" w:eastAsia="宋体" w:cs="宋体"/>
          <w:b/>
          <w:color w:val="auto"/>
          <w:kern w:val="0"/>
          <w:sz w:val="32"/>
          <w:szCs w:val="32"/>
          <w:highlight w:val="none"/>
          <w:lang w:val="en-GB"/>
        </w:rPr>
      </w:pPr>
      <w:r>
        <w:rPr>
          <w:rFonts w:hint="eastAsia" w:ascii="宋体" w:hAnsi="宋体" w:eastAsia="宋体" w:cs="宋体"/>
          <w:b/>
          <w:color w:val="auto"/>
          <w:kern w:val="0"/>
          <w:sz w:val="32"/>
          <w:szCs w:val="32"/>
          <w:highlight w:val="none"/>
          <w:lang w:val="en-GB"/>
        </w:rPr>
        <w:t>二、</w:t>
      </w:r>
      <w:r>
        <w:rPr>
          <w:rFonts w:hint="eastAsia" w:ascii="宋体" w:hAnsi="宋体" w:eastAsia="宋体" w:cs="宋体"/>
          <w:b/>
          <w:color w:val="auto"/>
          <w:kern w:val="0"/>
          <w:sz w:val="32"/>
          <w:szCs w:val="32"/>
          <w:highlight w:val="none"/>
        </w:rPr>
        <w:t>评审办法及标准正文</w:t>
      </w:r>
      <w:bookmarkEnd w:id="119"/>
    </w:p>
    <w:p>
      <w:pPr>
        <w:numPr>
          <w:ilvl w:val="0"/>
          <w:numId w:val="62"/>
        </w:numPr>
        <w:shd w:val="clear" w:color="auto" w:fill="auto"/>
        <w:tabs>
          <w:tab w:val="left" w:pos="540"/>
        </w:tabs>
        <w:spacing w:line="360" w:lineRule="auto"/>
        <w:rPr>
          <w:rFonts w:hint="eastAsia" w:ascii="宋体" w:hAnsi="宋体" w:eastAsia="宋体" w:cs="宋体"/>
          <w:b/>
          <w:bCs/>
          <w:color w:val="auto"/>
          <w:kern w:val="0"/>
          <w:sz w:val="24"/>
          <w:szCs w:val="24"/>
          <w:highlight w:val="none"/>
          <w:lang w:val="en-GB"/>
        </w:rPr>
      </w:pPr>
      <w:r>
        <w:rPr>
          <w:rFonts w:hint="eastAsia" w:ascii="宋体" w:hAnsi="宋体" w:eastAsia="宋体" w:cs="宋体"/>
          <w:b/>
          <w:bCs/>
          <w:color w:val="auto"/>
          <w:kern w:val="0"/>
          <w:sz w:val="24"/>
          <w:szCs w:val="24"/>
          <w:highlight w:val="none"/>
          <w:lang w:val="en-GB"/>
        </w:rPr>
        <w:t>评审方法：</w:t>
      </w:r>
      <w:r>
        <w:rPr>
          <w:rFonts w:hint="eastAsia" w:ascii="宋体" w:hAnsi="宋体" w:eastAsia="宋体" w:cs="宋体"/>
          <w:color w:val="auto"/>
          <w:kern w:val="0"/>
          <w:sz w:val="24"/>
          <w:szCs w:val="24"/>
          <w:highlight w:val="none"/>
          <w:lang w:val="en-GB"/>
        </w:rPr>
        <w:t>详见《评审办法及标准前附表》。</w:t>
      </w:r>
    </w:p>
    <w:p>
      <w:pPr>
        <w:numPr>
          <w:ilvl w:val="0"/>
          <w:numId w:val="62"/>
        </w:numPr>
        <w:shd w:val="clear" w:color="auto" w:fill="auto"/>
        <w:tabs>
          <w:tab w:val="left" w:pos="540"/>
        </w:tabs>
        <w:spacing w:line="360" w:lineRule="auto"/>
        <w:rPr>
          <w:rFonts w:hint="eastAsia" w:ascii="宋体" w:hAnsi="宋体" w:eastAsia="宋体" w:cs="宋体"/>
          <w:b/>
          <w:bCs/>
          <w:color w:val="auto"/>
          <w:kern w:val="0"/>
          <w:sz w:val="24"/>
          <w:szCs w:val="24"/>
          <w:highlight w:val="none"/>
          <w:lang w:val="en-GB"/>
        </w:rPr>
      </w:pPr>
      <w:r>
        <w:rPr>
          <w:rFonts w:hint="eastAsia" w:ascii="宋体" w:hAnsi="宋体" w:eastAsia="宋体" w:cs="宋体"/>
          <w:b/>
          <w:bCs/>
          <w:color w:val="auto"/>
          <w:kern w:val="0"/>
          <w:sz w:val="24"/>
          <w:szCs w:val="24"/>
          <w:highlight w:val="none"/>
          <w:lang w:val="en-GB"/>
        </w:rPr>
        <w:t>评审标准：</w:t>
      </w:r>
    </w:p>
    <w:p>
      <w:pPr>
        <w:numPr>
          <w:ilvl w:val="0"/>
          <w:numId w:val="63"/>
        </w:numPr>
        <w:shd w:val="clear" w:color="auto" w:fill="auto"/>
        <w:tabs>
          <w:tab w:val="left" w:pos="518"/>
        </w:tabs>
        <w:spacing w:line="360" w:lineRule="auto"/>
        <w:ind w:left="567" w:hanging="567"/>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资格审查：由采购人或者采购代理机构于开标结束后，依法进行审查。具体标准详见《评审办法及标准前附表》。</w:t>
      </w:r>
    </w:p>
    <w:p>
      <w:pPr>
        <w:numPr>
          <w:ilvl w:val="0"/>
          <w:numId w:val="63"/>
        </w:numPr>
        <w:shd w:val="clear" w:color="auto" w:fill="auto"/>
        <w:tabs>
          <w:tab w:val="left" w:pos="518"/>
        </w:tabs>
        <w:spacing w:line="360" w:lineRule="auto"/>
        <w:ind w:left="567" w:hanging="567"/>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初步评审：即符合性评审，由评标委员会完成，具体标准详见《评审办法及标准前附表》。</w:t>
      </w:r>
    </w:p>
    <w:p>
      <w:pPr>
        <w:numPr>
          <w:ilvl w:val="0"/>
          <w:numId w:val="63"/>
        </w:numPr>
        <w:shd w:val="clear" w:color="auto" w:fill="auto"/>
        <w:tabs>
          <w:tab w:val="left" w:pos="518"/>
        </w:tabs>
        <w:spacing w:line="360" w:lineRule="auto"/>
        <w:ind w:left="567" w:hanging="567"/>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详细评审：由评标委员会完成，具体方法及标准详见《评审办法及标准前附表》。</w:t>
      </w:r>
    </w:p>
    <w:p>
      <w:pPr>
        <w:numPr>
          <w:ilvl w:val="0"/>
          <w:numId w:val="63"/>
        </w:numPr>
        <w:shd w:val="clear" w:color="auto" w:fill="auto"/>
        <w:tabs>
          <w:tab w:val="left" w:pos="518"/>
        </w:tabs>
        <w:spacing w:line="360" w:lineRule="auto"/>
        <w:ind w:left="567" w:hanging="567"/>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分值构成与评分标准：详见《评审办法及标准前附表》。</w:t>
      </w:r>
    </w:p>
    <w:p>
      <w:pPr>
        <w:numPr>
          <w:ilvl w:val="0"/>
          <w:numId w:val="62"/>
        </w:numPr>
        <w:shd w:val="clear" w:color="auto" w:fill="auto"/>
        <w:tabs>
          <w:tab w:val="left" w:pos="540"/>
        </w:tabs>
        <w:spacing w:line="360" w:lineRule="auto"/>
        <w:rPr>
          <w:rFonts w:hint="eastAsia" w:ascii="宋体" w:hAnsi="宋体" w:eastAsia="宋体" w:cs="宋体"/>
          <w:b/>
          <w:bCs/>
          <w:color w:val="auto"/>
          <w:kern w:val="0"/>
          <w:sz w:val="24"/>
          <w:szCs w:val="24"/>
          <w:highlight w:val="none"/>
          <w:lang w:val="en-GB"/>
        </w:rPr>
      </w:pPr>
      <w:r>
        <w:rPr>
          <w:rFonts w:hint="eastAsia" w:ascii="宋体" w:hAnsi="宋体" w:eastAsia="宋体" w:cs="宋体"/>
          <w:b/>
          <w:bCs/>
          <w:color w:val="auto"/>
          <w:kern w:val="0"/>
          <w:sz w:val="24"/>
          <w:szCs w:val="24"/>
          <w:highlight w:val="none"/>
          <w:lang w:val="en-GB"/>
        </w:rPr>
        <w:t>评审流程：</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采购代理机构公布</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名单，</w:t>
      </w:r>
      <w:r>
        <w:rPr>
          <w:rFonts w:hint="eastAsia" w:ascii="宋体" w:hAnsi="宋体" w:eastAsia="宋体" w:cs="宋体"/>
          <w:color w:val="auto"/>
          <w:kern w:val="0"/>
          <w:sz w:val="24"/>
          <w:szCs w:val="24"/>
          <w:highlight w:val="none"/>
        </w:rPr>
        <w:t>告知评审专家应当回避的情形。</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确认评审细则：</w:t>
      </w:r>
      <w:r>
        <w:rPr>
          <w:rFonts w:hint="eastAsia" w:ascii="宋体" w:hAnsi="宋体" w:eastAsia="宋体" w:cs="宋体"/>
          <w:color w:val="auto"/>
          <w:kern w:val="0"/>
          <w:sz w:val="24"/>
          <w:szCs w:val="24"/>
          <w:highlight w:val="none"/>
          <w:lang w:val="en-GB"/>
        </w:rPr>
        <w:t>评审细则的内容包括评审纪律、评审方法、评审程序等，评审细则一旦通过评标委员会集体签名确认后，评标委员会成员则统一严格按其执行，并进入下列评审程序。</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确定评标委员会负责人（组长）：</w:t>
      </w:r>
      <w:r>
        <w:rPr>
          <w:rFonts w:hint="eastAsia" w:ascii="宋体" w:hAnsi="宋体" w:eastAsia="宋体" w:cs="宋体"/>
          <w:color w:val="auto"/>
          <w:kern w:val="0"/>
          <w:sz w:val="24"/>
          <w:szCs w:val="24"/>
          <w:highlight w:val="none"/>
          <w:lang w:val="en-GB"/>
        </w:rPr>
        <w:t>由评标委员会推选其中一位专家作为评标委员会组长，采购人代表不得担任评标委员会组长。</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highlight w:val="none"/>
          <w:lang w:val="en-GB"/>
        </w:rPr>
      </w:pPr>
      <w:r>
        <w:rPr>
          <w:rFonts w:hint="eastAsia" w:ascii="宋体" w:hAnsi="宋体" w:eastAsia="宋体" w:cs="宋体"/>
          <w:b/>
          <w:color w:val="auto"/>
          <w:sz w:val="24"/>
          <w:highlight w:val="none"/>
        </w:rPr>
        <w:t>资格性审查和符合性审查</w:t>
      </w:r>
      <w:r>
        <w:rPr>
          <w:rFonts w:hint="eastAsia" w:ascii="宋体" w:hAnsi="宋体" w:eastAsia="宋体" w:cs="宋体"/>
          <w:b/>
          <w:color w:val="auto"/>
          <w:kern w:val="0"/>
          <w:sz w:val="24"/>
          <w:highlight w:val="none"/>
          <w:lang w:val="en-GB"/>
        </w:rPr>
        <w:t>：</w:t>
      </w:r>
    </w:p>
    <w:p>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资格性审查。</w:t>
      </w:r>
      <w:r>
        <w:rPr>
          <w:rFonts w:hint="eastAsia" w:ascii="宋体" w:hAnsi="宋体" w:eastAsia="宋体" w:cs="宋体"/>
          <w:color w:val="auto"/>
          <w:sz w:val="24"/>
          <w:szCs w:val="24"/>
          <w:highlight w:val="none"/>
        </w:rPr>
        <w:t>招标采购项目开标结束后，采购人或采购代理机构应当依法对投标人的资格进行审查，以确定投标人是否具备投标资格。（</w:t>
      </w:r>
      <w:r>
        <w:rPr>
          <w:rFonts w:hint="eastAsia" w:ascii="宋体" w:hAnsi="宋体" w:eastAsia="宋体" w:cs="宋体"/>
          <w:color w:val="auto"/>
          <w:kern w:val="0"/>
          <w:sz w:val="24"/>
          <w:highlight w:val="none"/>
          <w:lang w:val="en-GB"/>
        </w:rPr>
        <w:t>详见《评审办法及标准前附表》</w:t>
      </w:r>
      <w:r>
        <w:rPr>
          <w:rFonts w:hint="eastAsia" w:ascii="宋体" w:hAnsi="宋体" w:eastAsia="宋体" w:cs="宋体"/>
          <w:color w:val="auto"/>
          <w:sz w:val="24"/>
          <w:szCs w:val="24"/>
          <w:highlight w:val="none"/>
        </w:rPr>
        <w:t>）</w:t>
      </w:r>
    </w:p>
    <w:p>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符合性审查。</w:t>
      </w:r>
      <w:r>
        <w:rPr>
          <w:rFonts w:hint="eastAsia" w:ascii="宋体" w:hAnsi="宋体" w:eastAsia="宋体" w:cs="宋体"/>
          <w:color w:val="auto"/>
          <w:sz w:val="24"/>
          <w:szCs w:val="24"/>
          <w:highlight w:val="none"/>
        </w:rPr>
        <w:t>评标委员会依据招标文件的规定，从投标文件的有效性、完整性和对招标文件的响应程度进行审查，以确定是否对招标文件的实质性要求作出响应。（</w:t>
      </w:r>
      <w:r>
        <w:rPr>
          <w:rFonts w:hint="eastAsia" w:ascii="宋体" w:hAnsi="宋体" w:eastAsia="宋体" w:cs="宋体"/>
          <w:color w:val="auto"/>
          <w:kern w:val="0"/>
          <w:sz w:val="24"/>
          <w:highlight w:val="none"/>
          <w:lang w:val="en-GB"/>
        </w:rPr>
        <w:t>详见《评审办法及标准前附表》</w:t>
      </w:r>
      <w:r>
        <w:rPr>
          <w:rFonts w:hint="eastAsia" w:ascii="宋体" w:hAnsi="宋体" w:eastAsia="宋体" w:cs="宋体"/>
          <w:color w:val="auto"/>
          <w:sz w:val="24"/>
          <w:szCs w:val="24"/>
          <w:highlight w:val="none"/>
        </w:rPr>
        <w:t>）</w:t>
      </w:r>
    </w:p>
    <w:p>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资格性审查和符合性审查中凡有其中任意一项未通过的，评审结果为未通过，未通过资格性审查、符合性审查的投标人按无效投标处理。</w:t>
      </w:r>
    </w:p>
    <w:p>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对各投标人进行资格审查和符合性审查过程中，对初步被认定为无效投标者，由评标委员会组长或采购人代表将集体意见及时告知投标当事人。</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质询与澄清：</w:t>
      </w:r>
    </w:p>
    <w:p>
      <w:pPr>
        <w:numPr>
          <w:ilvl w:val="0"/>
          <w:numId w:val="65"/>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rPr>
        <w:t>评标委员会在评审过程中，对</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的投标文件中含义不明确、同类问题表述不一致或者有明显文字和计算错误的内容，评标委员会</w:t>
      </w:r>
      <w:r>
        <w:rPr>
          <w:rFonts w:hint="eastAsia" w:ascii="宋体" w:hAnsi="宋体" w:eastAsia="宋体" w:cs="宋体"/>
          <w:color w:val="auto"/>
          <w:kern w:val="0"/>
          <w:sz w:val="24"/>
          <w:szCs w:val="24"/>
          <w:highlight w:val="none"/>
        </w:rPr>
        <w:t>将以书面形式要求</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作出必要的澄清、说明或者补正</w:t>
      </w:r>
      <w:r>
        <w:rPr>
          <w:rFonts w:hint="eastAsia" w:ascii="宋体" w:hAnsi="宋体" w:eastAsia="宋体" w:cs="宋体"/>
          <w:color w:val="auto"/>
          <w:kern w:val="0"/>
          <w:sz w:val="24"/>
          <w:szCs w:val="24"/>
          <w:highlight w:val="none"/>
          <w:lang w:val="en-GB"/>
        </w:rPr>
        <w:t>。</w:t>
      </w:r>
    </w:p>
    <w:p>
      <w:pPr>
        <w:numPr>
          <w:ilvl w:val="0"/>
          <w:numId w:val="65"/>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须按照被通知的限定时间（一般为接到通知后30分钟内，评标委员会可视现场情况适当延长限定时间），以书面形式进行澄清、说明或者补正，加盖</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单位公章或者由法定代表人或</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代表签字。</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的书面应答文件将作为投标文件不可分割的内容。</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的澄清、说明或者补正不得超出投标文件的范围或者改变投标文件的实质性内容。</w:t>
      </w:r>
    </w:p>
    <w:p>
      <w:pPr>
        <w:numPr>
          <w:ilvl w:val="0"/>
          <w:numId w:val="65"/>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未在规定的时间内对质询的内容进行应答的，视为同意评标委员会的处理结果。</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初步评审结论：</w:t>
      </w:r>
      <w:r>
        <w:rPr>
          <w:rFonts w:hint="eastAsia" w:ascii="宋体" w:hAnsi="宋体" w:eastAsia="宋体" w:cs="宋体"/>
          <w:color w:val="auto"/>
          <w:kern w:val="0"/>
          <w:sz w:val="24"/>
          <w:highlight w:val="none"/>
          <w:lang w:val="en-GB"/>
        </w:rPr>
        <w:t>初</w:t>
      </w:r>
      <w:r>
        <w:rPr>
          <w:rFonts w:hint="eastAsia" w:ascii="宋体" w:hAnsi="宋体" w:eastAsia="宋体" w:cs="宋体"/>
          <w:color w:val="auto"/>
          <w:kern w:val="0"/>
          <w:sz w:val="24"/>
          <w:highlight w:val="none"/>
          <w:lang w:val="en-GB" w:eastAsia="zh-CN"/>
        </w:rPr>
        <w:t>步评</w:t>
      </w:r>
      <w:r>
        <w:rPr>
          <w:rFonts w:hint="eastAsia" w:ascii="宋体" w:hAnsi="宋体" w:eastAsia="宋体" w:cs="宋体"/>
          <w:color w:val="auto"/>
          <w:kern w:val="0"/>
          <w:sz w:val="24"/>
          <w:highlight w:val="none"/>
          <w:lang w:val="en-GB"/>
        </w:rPr>
        <w:t>审结论以记名方式独立表决，以少数服从多数的原则确定投标人的投标有效性。被评标委员会认定为“初审不合格”或“无效投标”或“审查不通过”的投标人将不进入下一程序的评审。</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投标报价合理性说明：</w:t>
      </w:r>
      <w:r>
        <w:rPr>
          <w:rFonts w:hint="eastAsia" w:ascii="宋体" w:hAnsi="宋体" w:eastAsia="宋体" w:cs="宋体"/>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eastAsia="宋体" w:cs="宋体"/>
          <w:color w:val="auto"/>
          <w:kern w:val="0"/>
          <w:sz w:val="24"/>
          <w:szCs w:val="24"/>
          <w:highlight w:val="none"/>
          <w:lang w:val="en-GB"/>
        </w:rPr>
        <w:t>。</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比较与评价：</w:t>
      </w:r>
      <w:r>
        <w:rPr>
          <w:rFonts w:hint="eastAsia" w:ascii="宋体" w:hAnsi="宋体" w:eastAsia="宋体" w:cs="宋体"/>
          <w:color w:val="auto"/>
          <w:kern w:val="0"/>
          <w:sz w:val="24"/>
          <w:szCs w:val="24"/>
          <w:highlight w:val="none"/>
          <w:lang w:val="en-GB"/>
        </w:rPr>
        <w:t>评标委员会对通过初步评审的有效</w:t>
      </w:r>
      <w:r>
        <w:rPr>
          <w:rFonts w:hint="eastAsia" w:ascii="宋体" w:hAnsi="宋体" w:eastAsia="宋体" w:cs="宋体"/>
          <w:color w:val="auto"/>
          <w:kern w:val="0"/>
          <w:sz w:val="24"/>
          <w:szCs w:val="24"/>
          <w:highlight w:val="none"/>
          <w:lang w:val="en-GB" w:eastAsia="zh-CN"/>
        </w:rPr>
        <w:t>投标人</w:t>
      </w:r>
      <w:r>
        <w:rPr>
          <w:rFonts w:hint="eastAsia" w:ascii="宋体" w:hAnsi="宋体" w:eastAsia="宋体" w:cs="宋体"/>
          <w:color w:val="auto"/>
          <w:kern w:val="0"/>
          <w:sz w:val="24"/>
          <w:szCs w:val="24"/>
          <w:highlight w:val="none"/>
          <w:lang w:val="en-GB"/>
        </w:rPr>
        <w:t>的技术、商务方案进行细化评审和综合比较，对照所公布的量化评分内容进行独立评分。详细评审的标准见《评审办法及标准前附表》。</w:t>
      </w:r>
    </w:p>
    <w:p>
      <w:pPr>
        <w:numPr>
          <w:ilvl w:val="0"/>
          <w:numId w:val="64"/>
        </w:numPr>
        <w:shd w:val="clear" w:color="auto" w:fill="auto"/>
        <w:tabs>
          <w:tab w:val="left" w:pos="567"/>
        </w:tabs>
        <w:spacing w:line="360" w:lineRule="auto"/>
        <w:ind w:left="567" w:hanging="567"/>
        <w:rPr>
          <w:rFonts w:hint="eastAsia" w:ascii="宋体" w:hAnsi="宋体" w:eastAsia="宋体" w:cs="宋体"/>
          <w:color w:val="auto"/>
          <w:kern w:val="0"/>
          <w:sz w:val="24"/>
          <w:highlight w:val="none"/>
          <w:lang w:val="en-GB"/>
        </w:rPr>
      </w:pPr>
      <w:r>
        <w:rPr>
          <w:rFonts w:hint="eastAsia" w:ascii="宋体" w:hAnsi="宋体" w:eastAsia="宋体" w:cs="宋体"/>
          <w:b/>
          <w:color w:val="auto"/>
          <w:kern w:val="0"/>
          <w:sz w:val="24"/>
          <w:highlight w:val="none"/>
          <w:lang w:val="en-GB"/>
        </w:rPr>
        <w:t>价格部分评审标准：</w:t>
      </w:r>
      <w:r>
        <w:rPr>
          <w:rFonts w:hint="eastAsia" w:ascii="宋体" w:hAnsi="宋体" w:eastAsia="宋体" w:cs="宋体"/>
          <w:color w:val="auto"/>
          <w:kern w:val="0"/>
          <w:sz w:val="24"/>
          <w:highlight w:val="none"/>
          <w:lang w:val="en-GB"/>
        </w:rPr>
        <w:t>详细评审的标准见《评审办法及标准前附表》。</w:t>
      </w:r>
    </w:p>
    <w:p>
      <w:pPr>
        <w:numPr>
          <w:ilvl w:val="0"/>
          <w:numId w:val="64"/>
        </w:numPr>
        <w:shd w:val="clear" w:color="auto" w:fill="auto"/>
        <w:tabs>
          <w:tab w:val="left" w:pos="567"/>
        </w:tabs>
        <w:snapToGrid w:val="0"/>
        <w:spacing w:line="360" w:lineRule="auto"/>
        <w:ind w:left="510" w:hanging="567"/>
        <w:rPr>
          <w:rFonts w:hint="eastAsia" w:ascii="宋体" w:hAnsi="宋体" w:eastAsia="宋体" w:cs="宋体"/>
          <w:color w:val="auto"/>
          <w:kern w:val="0"/>
          <w:sz w:val="24"/>
          <w:szCs w:val="24"/>
          <w:highlight w:val="none"/>
          <w:lang w:val="en-GB"/>
        </w:rPr>
      </w:pPr>
      <w:r>
        <w:rPr>
          <w:rFonts w:hint="eastAsia" w:ascii="宋体" w:hAnsi="宋体" w:eastAsia="宋体" w:cs="宋体"/>
          <w:b/>
          <w:color w:val="auto"/>
          <w:kern w:val="0"/>
          <w:sz w:val="24"/>
          <w:szCs w:val="24"/>
          <w:highlight w:val="none"/>
          <w:lang w:val="en-GB"/>
        </w:rPr>
        <w:t>综合汇总及推荐结果：</w:t>
      </w:r>
      <w:r>
        <w:rPr>
          <w:rFonts w:hint="eastAsia" w:ascii="宋体" w:hAnsi="宋体" w:eastAsia="宋体" w:cs="宋体"/>
          <w:color w:val="auto"/>
          <w:kern w:val="0"/>
          <w:sz w:val="24"/>
          <w:szCs w:val="24"/>
          <w:highlight w:val="none"/>
          <w:lang w:val="en-GB"/>
        </w:rPr>
        <w:t>将各评委的评分进行汇总，按评标总得分从高到低顺序排列，根据排名情况推荐中标候选人。本项目推荐中标候选人的数量见《投标人须知前附表》。如评标总得分相同，则按投标报价由低到高顺序排列；得分且投标报价相同的，按技术和商务得分从高到低顺序排列；若评标总得分、投标报价、技术和商务得分都相同，则由评委投票决定排序，投票按少数服从多数的原则进行，投票时不得弃权。评审过程中涉及和产生的所有程序文件、打分表格及评审综合意见（授标建议），均须由评标委员会成员签名确认。评审结果未公布前，投标人均不得主动与评标委员会、采购人、</w:t>
      </w:r>
      <w:r>
        <w:rPr>
          <w:rFonts w:hint="eastAsia" w:ascii="宋体" w:hAnsi="宋体" w:eastAsia="宋体" w:cs="宋体"/>
          <w:color w:val="auto"/>
          <w:kern w:val="0"/>
          <w:sz w:val="24"/>
          <w:szCs w:val="24"/>
          <w:highlight w:val="none"/>
          <w:lang w:val="en-GB" w:eastAsia="zh-CN"/>
        </w:rPr>
        <w:t>采购</w:t>
      </w:r>
      <w:r>
        <w:rPr>
          <w:rFonts w:hint="eastAsia" w:ascii="宋体" w:hAnsi="宋体" w:eastAsia="宋体" w:cs="宋体"/>
          <w:color w:val="auto"/>
          <w:kern w:val="0"/>
          <w:sz w:val="24"/>
          <w:szCs w:val="24"/>
          <w:highlight w:val="none"/>
          <w:lang w:val="en-GB"/>
        </w:rPr>
        <w:t>代理机构联系以探取评审信息。</w:t>
      </w:r>
    </w:p>
    <w:p>
      <w:pPr>
        <w:pStyle w:val="51"/>
        <w:shd w:val="clear" w:color="auto" w:fill="auto"/>
        <w:rPr>
          <w:rFonts w:hint="eastAsia" w:ascii="宋体" w:hAnsi="宋体" w:eastAsia="宋体" w:cs="宋体"/>
          <w:color w:val="auto"/>
          <w:kern w:val="0"/>
          <w:sz w:val="24"/>
          <w:szCs w:val="24"/>
          <w:highlight w:val="none"/>
          <w:lang w:val="en-GB"/>
        </w:rPr>
      </w:pPr>
    </w:p>
    <w:p>
      <w:pPr>
        <w:pStyle w:val="51"/>
        <w:shd w:val="clear" w:color="auto" w:fill="auto"/>
        <w:rPr>
          <w:rFonts w:hint="eastAsia" w:ascii="宋体" w:hAnsi="宋体" w:eastAsia="宋体" w:cs="宋体"/>
          <w:color w:val="auto"/>
          <w:kern w:val="0"/>
          <w:sz w:val="24"/>
          <w:szCs w:val="24"/>
          <w:highlight w:val="none"/>
          <w:lang w:val="en-GB"/>
        </w:rPr>
      </w:pPr>
    </w:p>
    <w:p>
      <w:pPr>
        <w:pStyle w:val="51"/>
        <w:shd w:val="clear" w:color="auto" w:fill="auto"/>
        <w:rPr>
          <w:rFonts w:hint="eastAsia" w:ascii="宋体" w:hAnsi="宋体" w:eastAsia="宋体" w:cs="宋体"/>
          <w:color w:val="auto"/>
          <w:kern w:val="0"/>
          <w:sz w:val="24"/>
          <w:szCs w:val="24"/>
          <w:highlight w:val="none"/>
          <w:lang w:val="en-GB"/>
        </w:rPr>
      </w:pPr>
    </w:p>
    <w:p>
      <w:pPr>
        <w:pStyle w:val="51"/>
        <w:shd w:val="clear" w:color="auto" w:fill="auto"/>
        <w:rPr>
          <w:rFonts w:hint="eastAsia" w:ascii="宋体" w:hAnsi="宋体" w:eastAsia="宋体" w:cs="宋体"/>
          <w:color w:val="auto"/>
          <w:kern w:val="0"/>
          <w:sz w:val="24"/>
          <w:szCs w:val="24"/>
          <w:highlight w:val="none"/>
          <w:lang w:val="en-GB"/>
        </w:rPr>
      </w:pPr>
    </w:p>
    <w:p>
      <w:pPr>
        <w:pStyle w:val="51"/>
        <w:shd w:val="clear" w:color="auto" w:fill="auto"/>
        <w:rPr>
          <w:rFonts w:hint="eastAsia" w:ascii="宋体" w:hAnsi="宋体" w:eastAsia="宋体" w:cs="宋体"/>
          <w:color w:val="auto"/>
          <w:kern w:val="0"/>
          <w:sz w:val="24"/>
          <w:szCs w:val="24"/>
          <w:highlight w:val="none"/>
          <w:lang w:val="en-GB"/>
        </w:rPr>
      </w:pPr>
    </w:p>
    <w:p>
      <w:pPr>
        <w:pStyle w:val="51"/>
        <w:shd w:val="clear" w:color="auto" w:fill="auto"/>
        <w:rPr>
          <w:rFonts w:hint="eastAsia" w:ascii="宋体" w:hAnsi="宋体" w:eastAsia="宋体" w:cs="宋体"/>
          <w:color w:val="auto"/>
          <w:kern w:val="0"/>
          <w:sz w:val="24"/>
          <w:szCs w:val="24"/>
          <w:highlight w:val="none"/>
          <w:lang w:val="en-GB"/>
        </w:rPr>
      </w:pPr>
    </w:p>
    <w:p>
      <w:pPr>
        <w:pStyle w:val="51"/>
        <w:shd w:val="clear" w:color="auto" w:fill="auto"/>
        <w:rPr>
          <w:rFonts w:hint="eastAsia" w:ascii="宋体" w:hAnsi="宋体" w:eastAsia="宋体" w:cs="宋体"/>
          <w:color w:val="auto"/>
          <w:kern w:val="0"/>
          <w:sz w:val="24"/>
          <w:szCs w:val="24"/>
          <w:highlight w:val="none"/>
          <w:lang w:val="en-GB"/>
        </w:rPr>
      </w:pPr>
    </w:p>
    <w:p>
      <w:pPr>
        <w:bidi w:val="0"/>
        <w:rPr>
          <w:rFonts w:hint="eastAsia"/>
        </w:rPr>
      </w:pPr>
      <w:bookmarkStart w:id="120" w:name="_Toc31482"/>
    </w:p>
    <w:bookmarkEnd w:id="117"/>
    <w:bookmarkEnd w:id="120"/>
    <w:p>
      <w:pPr>
        <w:shd w:val="clear" w:color="auto" w:fill="auto"/>
        <w:spacing w:after="156" w:afterLines="50" w:line="360" w:lineRule="auto"/>
        <w:jc w:val="center"/>
        <w:outlineLvl w:val="0"/>
        <w:rPr>
          <w:rFonts w:hint="eastAsia" w:ascii="宋体" w:hAnsi="宋体" w:eastAsia="宋体" w:cs="宋体"/>
          <w:b/>
          <w:color w:val="auto"/>
          <w:kern w:val="0"/>
          <w:sz w:val="36"/>
          <w:szCs w:val="36"/>
          <w:highlight w:val="none"/>
        </w:rPr>
      </w:pPr>
      <w:bookmarkStart w:id="121" w:name="_Toc20119"/>
      <w:bookmarkStart w:id="122" w:name="_Toc15395"/>
      <w:bookmarkStart w:id="123" w:name="_Toc27315"/>
      <w:r>
        <w:rPr>
          <w:rFonts w:hint="eastAsia" w:ascii="宋体" w:hAnsi="宋体" w:eastAsia="宋体" w:cs="宋体"/>
          <w:b/>
          <w:color w:val="auto"/>
          <w:kern w:val="0"/>
          <w:sz w:val="36"/>
          <w:szCs w:val="36"/>
          <w:highlight w:val="none"/>
        </w:rPr>
        <w:t>第五部分  合同书范本</w:t>
      </w:r>
      <w:bookmarkEnd w:id="121"/>
      <w:bookmarkEnd w:id="122"/>
    </w:p>
    <w:p>
      <w:pPr>
        <w:shd w:val="clear" w:color="auto" w:fill="auto"/>
        <w:spacing w:line="360" w:lineRule="auto"/>
        <w:ind w:left="46" w:leftChars="22"/>
        <w:rPr>
          <w:rFonts w:hint="eastAsia" w:ascii="宋体" w:hAnsi="宋体" w:eastAsia="宋体" w:cs="宋体"/>
          <w:bCs/>
          <w:color w:val="auto"/>
          <w:kern w:val="0"/>
          <w:sz w:val="24"/>
          <w:highlight w:val="none"/>
          <w:lang w:val="zh-CN"/>
        </w:rPr>
      </w:pPr>
      <w:r>
        <w:rPr>
          <w:rFonts w:hint="eastAsia" w:ascii="宋体" w:hAnsi="宋体" w:eastAsia="宋体" w:cs="宋体"/>
          <w:bCs/>
          <w:color w:val="auto"/>
          <w:kern w:val="0"/>
          <w:sz w:val="24"/>
          <w:highlight w:val="none"/>
          <w:lang w:val="zh-CN"/>
        </w:rPr>
        <w:t>注：</w:t>
      </w:r>
      <w:r>
        <w:rPr>
          <w:rFonts w:hint="eastAsia" w:ascii="宋体" w:hAnsi="宋体" w:eastAsia="宋体" w:cs="宋体"/>
          <w:color w:val="auto"/>
          <w:kern w:val="0"/>
          <w:sz w:val="24"/>
          <w:highlight w:val="none"/>
        </w:rPr>
        <w:t>在不违背各方认可的文件内容前提下，对个别非实质性条款可由合同当事人协商修订，</w:t>
      </w:r>
      <w:r>
        <w:rPr>
          <w:rFonts w:hint="eastAsia" w:ascii="宋体" w:hAnsi="宋体" w:eastAsia="宋体" w:cs="宋体"/>
          <w:bCs/>
          <w:color w:val="auto"/>
          <w:kern w:val="0"/>
          <w:sz w:val="24"/>
          <w:highlight w:val="none"/>
          <w:lang w:val="zh-CN"/>
        </w:rPr>
        <w:t>最终以甲、乙双方签订的合同为准。合同封面也可按甲乙双方意愿，自行编制修订。</w:t>
      </w:r>
    </w:p>
    <w:p>
      <w:pPr>
        <w:pStyle w:val="71"/>
        <w:rPr>
          <w:rFonts w:hint="eastAsia"/>
          <w:lang w:val="zh-CN"/>
        </w:rPr>
      </w:pPr>
    </w:p>
    <w:p>
      <w:pPr>
        <w:pStyle w:val="46"/>
        <w:rPr>
          <w:rFonts w:hint="eastAsia" w:ascii="宋体" w:hAnsi="宋体" w:eastAsia="宋体" w:cs="宋体"/>
          <w:color w:val="auto"/>
          <w:highlight w:val="none"/>
        </w:rPr>
      </w:pPr>
    </w:p>
    <w:p>
      <w:pPr>
        <w:pStyle w:val="269"/>
        <w:shd w:val="clear" w:color="auto" w:fill="auto"/>
        <w:spacing w:line="360" w:lineRule="auto"/>
        <w:ind w:firstLine="0" w:firstLineChars="0"/>
        <w:jc w:val="left"/>
        <w:rPr>
          <w:rFonts w:hint="eastAsia" w:ascii="宋体" w:hAnsi="宋体" w:eastAsia="宋体" w:cs="宋体"/>
          <w:color w:val="auto"/>
          <w:kern w:val="0"/>
          <w:sz w:val="24"/>
          <w:szCs w:val="24"/>
          <w:highlight w:val="none"/>
        </w:rPr>
      </w:pPr>
      <w:r>
        <w:rPr>
          <w:rFonts w:hint="eastAsia" w:ascii="宋体" w:hAnsi="宋体" w:cs="宋体"/>
          <w:b/>
          <w:bCs/>
          <w:color w:val="auto"/>
          <w:kern w:val="0"/>
          <w:sz w:val="24"/>
          <w:szCs w:val="24"/>
          <w:highlight w:val="none"/>
          <w:lang w:val="en-US" w:eastAsia="zh-CN"/>
        </w:rPr>
        <w:t>采购包1（</w:t>
      </w:r>
      <w:r>
        <w:rPr>
          <w:rFonts w:hint="eastAsia" w:ascii="宋体" w:hAnsi="宋体" w:cs="宋体"/>
          <w:b/>
          <w:bCs/>
          <w:color w:val="auto"/>
          <w:kern w:val="0"/>
          <w:sz w:val="24"/>
          <w:szCs w:val="24"/>
          <w:highlight w:val="none"/>
          <w:lang w:eastAsia="zh-CN"/>
        </w:rPr>
        <w:t>佛山市三水区国睿再生资源回收有限公司国睿公司冷库托盘采购</w:t>
      </w:r>
      <w:r>
        <w:rPr>
          <w:rFonts w:hint="eastAsia" w:ascii="宋体" w:hAnsi="宋体" w:cs="宋体"/>
          <w:b/>
          <w:bCs/>
          <w:color w:val="auto"/>
          <w:kern w:val="0"/>
          <w:sz w:val="24"/>
          <w:szCs w:val="24"/>
          <w:highlight w:val="none"/>
          <w:lang w:val="en-US" w:eastAsia="zh-CN"/>
        </w:rPr>
        <w:t>）：</w:t>
      </w:r>
    </w:p>
    <w:p>
      <w:pPr>
        <w:pStyle w:val="275"/>
        <w:tabs>
          <w:tab w:val="left" w:pos="1440"/>
        </w:tabs>
        <w:spacing w:line="360" w:lineRule="auto"/>
        <w:jc w:val="center"/>
        <w:rPr>
          <w:rFonts w:hint="eastAsia" w:ascii="宋体" w:hAnsi="宋体" w:cs="宋体"/>
          <w:b/>
          <w:color w:val="auto"/>
          <w:sz w:val="44"/>
          <w:szCs w:val="44"/>
          <w:highlight w:val="none"/>
          <w:lang w:eastAsia="zh-CN"/>
        </w:rPr>
      </w:pPr>
      <w:r>
        <w:rPr>
          <w:rFonts w:hint="eastAsia" w:ascii="宋体" w:hAnsi="宋体" w:cs="宋体"/>
          <w:b/>
          <w:color w:val="auto"/>
          <w:sz w:val="44"/>
          <w:szCs w:val="44"/>
          <w:highlight w:val="none"/>
          <w:lang w:eastAsia="zh-CN"/>
        </w:rPr>
        <w:t>佛山市三水区国睿再生资源回收有限公司国睿冷库基础设施配套项目（第二次）</w:t>
      </w:r>
    </w:p>
    <w:p>
      <w:pPr>
        <w:pStyle w:val="275"/>
        <w:tabs>
          <w:tab w:val="left" w:pos="1440"/>
        </w:tabs>
        <w:spacing w:line="360" w:lineRule="auto"/>
        <w:jc w:val="center"/>
        <w:rPr>
          <w:rFonts w:hint="eastAsia" w:ascii="宋体" w:hAnsi="宋体" w:cs="宋体"/>
          <w:b/>
          <w:color w:val="auto"/>
          <w:sz w:val="44"/>
          <w:szCs w:val="44"/>
          <w:highlight w:val="none"/>
        </w:rPr>
      </w:pPr>
    </w:p>
    <w:p>
      <w:pPr>
        <w:pStyle w:val="275"/>
        <w:tabs>
          <w:tab w:val="left" w:pos="1440"/>
        </w:tabs>
        <w:spacing w:line="36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合同书</w:t>
      </w:r>
    </w:p>
    <w:p>
      <w:pPr>
        <w:pStyle w:val="275"/>
        <w:spacing w:line="360" w:lineRule="auto"/>
        <w:jc w:val="center"/>
        <w:rPr>
          <w:b/>
          <w:bCs/>
          <w:color w:val="000000"/>
          <w:highlight w:val="white"/>
        </w:rPr>
      </w:pPr>
    </w:p>
    <w:p>
      <w:pPr>
        <w:pStyle w:val="275"/>
        <w:spacing w:line="360" w:lineRule="auto"/>
        <w:jc w:val="center"/>
        <w:rPr>
          <w:b/>
          <w:bCs/>
          <w:color w:val="000000"/>
          <w:highlight w:val="white"/>
        </w:rPr>
      </w:pPr>
    </w:p>
    <w:p>
      <w:pPr>
        <w:pStyle w:val="275"/>
        <w:spacing w:line="360" w:lineRule="auto"/>
        <w:jc w:val="center"/>
        <w:rPr>
          <w:b/>
          <w:bCs/>
          <w:color w:val="000000"/>
          <w:highlight w:val="white"/>
        </w:rPr>
      </w:pPr>
    </w:p>
    <w:p>
      <w:pPr>
        <w:pStyle w:val="275"/>
        <w:spacing w:line="360" w:lineRule="auto"/>
        <w:jc w:val="center"/>
        <w:rPr>
          <w:b/>
          <w:bCs/>
          <w:color w:val="000000"/>
          <w:highlight w:val="white"/>
        </w:rPr>
      </w:pPr>
    </w:p>
    <w:p>
      <w:pPr>
        <w:pStyle w:val="275"/>
        <w:spacing w:line="360" w:lineRule="auto"/>
        <w:jc w:val="center"/>
        <w:rPr>
          <w:b/>
          <w:bCs/>
          <w:color w:val="000000"/>
          <w:highlight w:val="white"/>
        </w:rPr>
      </w:pPr>
    </w:p>
    <w:p>
      <w:pPr>
        <w:pStyle w:val="275"/>
        <w:spacing w:line="480" w:lineRule="auto"/>
        <w:ind w:firstLine="2409" w:firstLineChars="1000"/>
        <w:rPr>
          <w:b/>
          <w:bCs/>
          <w:color w:val="000000"/>
          <w:sz w:val="24"/>
          <w:highlight w:val="white"/>
        </w:rPr>
      </w:pPr>
      <w:r>
        <w:rPr>
          <w:rFonts w:hint="eastAsia"/>
          <w:b/>
          <w:bCs/>
          <w:color w:val="000000"/>
          <w:sz w:val="24"/>
          <w:highlight w:val="white"/>
        </w:rPr>
        <w:t>项目编号：</w:t>
      </w:r>
      <w:r>
        <w:rPr>
          <w:rFonts w:hint="eastAsia"/>
          <w:b/>
          <w:bCs/>
          <w:color w:val="000000"/>
          <w:sz w:val="24"/>
          <w:highlight w:val="white"/>
          <w:u w:val="single"/>
        </w:rPr>
        <w:t xml:space="preserve">                   </w:t>
      </w:r>
    </w:p>
    <w:p>
      <w:pPr>
        <w:pStyle w:val="275"/>
        <w:spacing w:line="480" w:lineRule="auto"/>
        <w:ind w:firstLine="2409" w:firstLineChars="1000"/>
        <w:rPr>
          <w:rFonts w:hint="eastAsia"/>
          <w:b/>
          <w:bCs/>
          <w:color w:val="000000"/>
          <w:sz w:val="24"/>
          <w:highlight w:val="white"/>
          <w:u w:val="single"/>
        </w:rPr>
      </w:pPr>
      <w:r>
        <w:rPr>
          <w:rFonts w:hint="eastAsia"/>
          <w:b/>
          <w:color w:val="000000"/>
          <w:sz w:val="24"/>
          <w:highlight w:val="white"/>
        </w:rPr>
        <w:t>项目名称：</w:t>
      </w:r>
      <w:r>
        <w:rPr>
          <w:rFonts w:hint="eastAsia"/>
          <w:b/>
          <w:bCs/>
          <w:color w:val="000000"/>
          <w:sz w:val="24"/>
          <w:highlight w:val="white"/>
          <w:u w:val="single"/>
        </w:rPr>
        <w:t xml:space="preserve">                   </w:t>
      </w:r>
    </w:p>
    <w:p>
      <w:pPr>
        <w:pStyle w:val="275"/>
        <w:spacing w:line="480" w:lineRule="auto"/>
        <w:ind w:firstLine="2409" w:firstLineChars="1000"/>
        <w:rPr>
          <w:rFonts w:hint="default" w:eastAsia="宋体"/>
          <w:b/>
          <w:bCs/>
          <w:color w:val="000000"/>
          <w:sz w:val="24"/>
          <w:highlight w:val="white"/>
          <w:u w:val="single"/>
          <w:lang w:val="en-US" w:eastAsia="zh-CN"/>
        </w:rPr>
      </w:pPr>
      <w:r>
        <w:rPr>
          <w:rFonts w:hint="eastAsia" w:cs="Times New Roman"/>
          <w:b/>
          <w:color w:val="000000"/>
          <w:sz w:val="24"/>
          <w:highlight w:val="white"/>
          <w:lang w:val="en-US" w:eastAsia="zh-CN"/>
        </w:rPr>
        <w:t>采购包：</w:t>
      </w:r>
      <w:r>
        <w:rPr>
          <w:rFonts w:hint="eastAsia"/>
          <w:b/>
          <w:bCs/>
          <w:color w:val="000000"/>
          <w:sz w:val="24"/>
          <w:highlight w:val="white"/>
          <w:u w:val="single"/>
        </w:rPr>
        <w:t xml:space="preserve">  </w:t>
      </w:r>
      <w:r>
        <w:rPr>
          <w:rFonts w:hint="eastAsia"/>
          <w:b/>
          <w:bCs/>
          <w:color w:val="000000"/>
          <w:sz w:val="24"/>
          <w:highlight w:val="white"/>
          <w:u w:val="single"/>
          <w:lang w:val="en-US" w:eastAsia="zh-CN"/>
        </w:rPr>
        <w:t xml:space="preserve">采购包1        </w:t>
      </w:r>
      <w:r>
        <w:rPr>
          <w:rFonts w:hint="eastAsia"/>
          <w:b/>
          <w:bCs/>
          <w:color w:val="000000"/>
          <w:sz w:val="24"/>
          <w:highlight w:val="white"/>
          <w:u w:val="single"/>
        </w:rPr>
        <w:t xml:space="preserve">   </w:t>
      </w:r>
    </w:p>
    <w:p>
      <w:pPr>
        <w:pStyle w:val="275"/>
        <w:spacing w:line="360" w:lineRule="auto"/>
        <w:jc w:val="center"/>
      </w:pPr>
    </w:p>
    <w:p>
      <w:pPr>
        <w:pStyle w:val="275"/>
        <w:spacing w:line="360" w:lineRule="auto"/>
        <w:jc w:val="center"/>
      </w:pPr>
    </w:p>
    <w:tbl>
      <w:tblPr>
        <w:tblStyle w:val="54"/>
        <w:tblW w:w="7519" w:type="dxa"/>
        <w:jc w:val="center"/>
        <w:tblLayout w:type="fixed"/>
        <w:tblCellMar>
          <w:top w:w="0" w:type="dxa"/>
          <w:left w:w="108" w:type="dxa"/>
          <w:bottom w:w="0" w:type="dxa"/>
          <w:right w:w="108" w:type="dxa"/>
        </w:tblCellMar>
      </w:tblPr>
      <w:tblGrid>
        <w:gridCol w:w="2067"/>
        <w:gridCol w:w="5452"/>
      </w:tblGrid>
      <w:tr>
        <w:tblPrEx>
          <w:tblCellMar>
            <w:top w:w="0" w:type="dxa"/>
            <w:left w:w="108" w:type="dxa"/>
            <w:bottom w:w="0" w:type="dxa"/>
            <w:right w:w="108" w:type="dxa"/>
          </w:tblCellMar>
        </w:tblPrEx>
        <w:trPr>
          <w:trHeight w:val="1304" w:hRule="atLeast"/>
          <w:jc w:val="center"/>
        </w:trPr>
        <w:tc>
          <w:tcPr>
            <w:tcW w:w="2067" w:type="dxa"/>
            <w:noWrap w:val="0"/>
            <w:vAlign w:val="center"/>
          </w:tcPr>
          <w:p>
            <w:pPr>
              <w:pStyle w:val="275"/>
              <w:jc w:val="center"/>
              <w:rPr>
                <w:rFonts w:ascii="黑体" w:eastAsia="黑体"/>
                <w:sz w:val="28"/>
                <w:szCs w:val="28"/>
              </w:rPr>
            </w:pPr>
            <w:r>
              <w:rPr>
                <w:rFonts w:hint="eastAsia" w:ascii="黑体" w:eastAsia="黑体"/>
                <w:color w:val="000000"/>
                <w:sz w:val="28"/>
                <w:szCs w:val="28"/>
                <w:highlight w:val="white"/>
              </w:rPr>
              <w:t>甲    方：</w:t>
            </w:r>
          </w:p>
        </w:tc>
        <w:tc>
          <w:tcPr>
            <w:tcW w:w="5452" w:type="dxa"/>
            <w:noWrap w:val="0"/>
            <w:vAlign w:val="center"/>
          </w:tcPr>
          <w:p>
            <w:pPr>
              <w:pStyle w:val="275"/>
              <w:jc w:val="left"/>
              <w:rPr>
                <w:rFonts w:hint="eastAsia" w:ascii="黑体" w:eastAsia="黑体" w:cs="Times New Roman"/>
                <w:color w:val="000000"/>
                <w:sz w:val="28"/>
                <w:szCs w:val="28"/>
                <w:highlight w:val="white"/>
                <w:u w:val="single"/>
              </w:rPr>
            </w:pPr>
            <w:r>
              <w:rPr>
                <w:rFonts w:hint="eastAsia" w:ascii="黑体" w:eastAsia="黑体" w:cs="Times New Roman"/>
                <w:color w:val="000000"/>
                <w:sz w:val="28"/>
                <w:szCs w:val="28"/>
                <w:highlight w:val="white"/>
                <w:u w:val="single"/>
                <w:lang w:eastAsia="zh-CN"/>
              </w:rPr>
              <w:t>佛山市三水区国睿再生资源回收有限公司</w:t>
            </w:r>
          </w:p>
        </w:tc>
      </w:tr>
      <w:tr>
        <w:tblPrEx>
          <w:tblCellMar>
            <w:top w:w="0" w:type="dxa"/>
            <w:left w:w="108" w:type="dxa"/>
            <w:bottom w:w="0" w:type="dxa"/>
            <w:right w:w="108" w:type="dxa"/>
          </w:tblCellMar>
        </w:tblPrEx>
        <w:trPr>
          <w:trHeight w:val="652" w:hRule="atLeast"/>
          <w:jc w:val="center"/>
        </w:trPr>
        <w:tc>
          <w:tcPr>
            <w:tcW w:w="2067" w:type="dxa"/>
            <w:noWrap w:val="0"/>
            <w:vAlign w:val="center"/>
          </w:tcPr>
          <w:p>
            <w:pPr>
              <w:pStyle w:val="275"/>
              <w:jc w:val="center"/>
              <w:rPr>
                <w:rFonts w:ascii="黑体" w:eastAsia="黑体"/>
                <w:sz w:val="28"/>
                <w:szCs w:val="28"/>
              </w:rPr>
            </w:pPr>
            <w:r>
              <w:rPr>
                <w:rFonts w:hint="eastAsia" w:ascii="黑体" w:hAnsi="宋体" w:eastAsia="黑体"/>
                <w:color w:val="000000"/>
                <w:sz w:val="28"/>
                <w:szCs w:val="28"/>
                <w:highlight w:val="white"/>
              </w:rPr>
              <w:t>乙    方：</w:t>
            </w:r>
          </w:p>
        </w:tc>
        <w:tc>
          <w:tcPr>
            <w:tcW w:w="5452" w:type="dxa"/>
            <w:noWrap w:val="0"/>
            <w:vAlign w:val="center"/>
          </w:tcPr>
          <w:p>
            <w:pPr>
              <w:pStyle w:val="275"/>
              <w:jc w:val="left"/>
              <w:rPr>
                <w:rFonts w:ascii="黑体" w:eastAsia="黑体"/>
                <w:sz w:val="28"/>
                <w:szCs w:val="28"/>
                <w:u w:val="single"/>
              </w:rPr>
            </w:pPr>
            <w:r>
              <w:rPr>
                <w:rFonts w:hint="eastAsia" w:ascii="黑体" w:eastAsia="黑体"/>
                <w:color w:val="000000"/>
                <w:sz w:val="28"/>
                <w:szCs w:val="28"/>
                <w:highlight w:val="white"/>
                <w:u w:val="single"/>
              </w:rPr>
              <w:t xml:space="preserve">  （中标</w:t>
            </w:r>
            <w:r>
              <w:rPr>
                <w:rFonts w:hint="eastAsia" w:ascii="黑体" w:eastAsia="黑体"/>
                <w:color w:val="000000"/>
                <w:sz w:val="28"/>
                <w:szCs w:val="28"/>
                <w:highlight w:val="white"/>
                <w:u w:val="single"/>
                <w:lang w:eastAsia="zh-CN"/>
              </w:rPr>
              <w:t>人</w:t>
            </w:r>
            <w:r>
              <w:rPr>
                <w:rFonts w:hint="eastAsia" w:ascii="黑体" w:eastAsia="黑体"/>
                <w:color w:val="000000"/>
                <w:sz w:val="28"/>
                <w:szCs w:val="28"/>
                <w:highlight w:val="white"/>
                <w:u w:val="single"/>
              </w:rPr>
              <w:t xml:space="preserve">）   </w:t>
            </w:r>
            <w:r>
              <w:rPr>
                <w:rFonts w:hint="eastAsia" w:ascii="黑体" w:eastAsia="黑体"/>
                <w:color w:val="000000"/>
                <w:sz w:val="28"/>
                <w:szCs w:val="28"/>
                <w:highlight w:val="white"/>
                <w:u w:val="single"/>
                <w:lang w:val="en-US" w:eastAsia="zh-CN"/>
              </w:rPr>
              <w:t xml:space="preserve">   </w:t>
            </w:r>
            <w:r>
              <w:rPr>
                <w:rFonts w:hint="eastAsia" w:ascii="黑体" w:eastAsia="黑体"/>
                <w:color w:val="000000"/>
                <w:sz w:val="28"/>
                <w:szCs w:val="28"/>
                <w:highlight w:val="white"/>
                <w:u w:val="single"/>
              </w:rPr>
              <w:t xml:space="preserve">   </w:t>
            </w:r>
          </w:p>
        </w:tc>
      </w:tr>
      <w:tr>
        <w:tblPrEx>
          <w:tblCellMar>
            <w:top w:w="0" w:type="dxa"/>
            <w:left w:w="108" w:type="dxa"/>
            <w:bottom w:w="0" w:type="dxa"/>
            <w:right w:w="108" w:type="dxa"/>
          </w:tblCellMar>
        </w:tblPrEx>
        <w:trPr>
          <w:trHeight w:val="652" w:hRule="atLeast"/>
          <w:jc w:val="center"/>
        </w:trPr>
        <w:tc>
          <w:tcPr>
            <w:tcW w:w="2067" w:type="dxa"/>
            <w:noWrap w:val="0"/>
            <w:vAlign w:val="center"/>
          </w:tcPr>
          <w:p>
            <w:pPr>
              <w:pStyle w:val="275"/>
              <w:jc w:val="center"/>
              <w:rPr>
                <w:rFonts w:ascii="黑体" w:eastAsia="黑体"/>
                <w:sz w:val="28"/>
                <w:szCs w:val="28"/>
              </w:rPr>
            </w:pPr>
            <w:r>
              <w:rPr>
                <w:rFonts w:hint="eastAsia" w:ascii="黑体" w:hAnsi="宋体" w:eastAsia="黑体"/>
                <w:color w:val="000000"/>
                <w:sz w:val="28"/>
                <w:szCs w:val="28"/>
                <w:highlight w:val="white"/>
              </w:rPr>
              <w:t>签订日期：</w:t>
            </w:r>
          </w:p>
        </w:tc>
        <w:tc>
          <w:tcPr>
            <w:tcW w:w="5452" w:type="dxa"/>
            <w:noWrap w:val="0"/>
            <w:vAlign w:val="center"/>
          </w:tcPr>
          <w:p>
            <w:pPr>
              <w:pStyle w:val="275"/>
              <w:jc w:val="left"/>
              <w:rPr>
                <w:rFonts w:ascii="黑体" w:eastAsia="黑体"/>
                <w:sz w:val="28"/>
                <w:szCs w:val="28"/>
                <w:u w:val="single"/>
              </w:rPr>
            </w:pPr>
            <w:r>
              <w:rPr>
                <w:rFonts w:hint="eastAsia" w:ascii="黑体" w:eastAsia="黑体"/>
                <w:color w:val="000000"/>
                <w:sz w:val="28"/>
                <w:szCs w:val="28"/>
                <w:highlight w:val="white"/>
                <w:u w:val="single"/>
              </w:rPr>
              <w:t xml:space="preserve">       </w:t>
            </w:r>
            <w:r>
              <w:rPr>
                <w:rFonts w:hint="eastAsia" w:ascii="黑体" w:hAnsi="宋体" w:eastAsia="黑体"/>
                <w:color w:val="000000"/>
                <w:sz w:val="28"/>
                <w:szCs w:val="28"/>
                <w:highlight w:val="white"/>
                <w:u w:val="single"/>
              </w:rPr>
              <w:t xml:space="preserve">年 </w:t>
            </w:r>
            <w:r>
              <w:rPr>
                <w:rFonts w:hint="eastAsia" w:ascii="黑体" w:eastAsia="黑体"/>
                <w:color w:val="000000"/>
                <w:sz w:val="28"/>
                <w:szCs w:val="28"/>
                <w:highlight w:val="white"/>
                <w:u w:val="single"/>
              </w:rPr>
              <w:t xml:space="preserve">   </w:t>
            </w:r>
            <w:r>
              <w:rPr>
                <w:rFonts w:hint="eastAsia" w:ascii="黑体" w:hAnsi="宋体" w:eastAsia="黑体"/>
                <w:color w:val="000000"/>
                <w:sz w:val="28"/>
                <w:szCs w:val="28"/>
                <w:highlight w:val="white"/>
                <w:u w:val="single"/>
              </w:rPr>
              <w:t>月</w:t>
            </w:r>
            <w:r>
              <w:rPr>
                <w:rFonts w:hint="eastAsia" w:ascii="黑体" w:eastAsia="黑体"/>
                <w:color w:val="000000"/>
                <w:sz w:val="28"/>
                <w:szCs w:val="28"/>
                <w:highlight w:val="white"/>
                <w:u w:val="single"/>
              </w:rPr>
              <w:t xml:space="preserve">    </w:t>
            </w:r>
            <w:r>
              <w:rPr>
                <w:rFonts w:hint="eastAsia" w:ascii="黑体" w:hAnsi="宋体" w:eastAsia="黑体"/>
                <w:color w:val="000000"/>
                <w:sz w:val="28"/>
                <w:szCs w:val="28"/>
                <w:highlight w:val="white"/>
                <w:u w:val="single"/>
              </w:rPr>
              <w:t>日</w:t>
            </w:r>
          </w:p>
        </w:tc>
      </w:tr>
    </w:tbl>
    <w:p>
      <w:pPr>
        <w:shd w:val="clear" w:color="auto" w:fill="auto"/>
        <w:spacing w:line="360" w:lineRule="auto"/>
        <w:jc w:val="center"/>
        <w:rPr>
          <w:rFonts w:hint="eastAsia" w:ascii="宋体" w:hAnsi="宋体" w:eastAsia="宋体" w:cs="宋体"/>
          <w:b/>
          <w:color w:val="auto"/>
          <w:sz w:val="32"/>
          <w:szCs w:val="32"/>
          <w:highlight w:val="none"/>
        </w:rPr>
      </w:pPr>
    </w:p>
    <w:p>
      <w:pPr>
        <w:pStyle w:val="276"/>
        <w:pageBreakBefore/>
        <w:spacing w:line="360" w:lineRule="auto"/>
        <w:jc w:val="center"/>
        <w:rPr>
          <w:b/>
          <w:color w:val="000000"/>
          <w:kern w:val="0"/>
          <w:sz w:val="44"/>
          <w:szCs w:val="44"/>
          <w:highlight w:val="none"/>
        </w:rPr>
      </w:pPr>
      <w:r>
        <w:rPr>
          <w:rFonts w:hint="eastAsia"/>
          <w:b/>
          <w:color w:val="000000"/>
          <w:kern w:val="0"/>
          <w:sz w:val="44"/>
          <w:szCs w:val="44"/>
          <w:highlight w:val="none"/>
        </w:rPr>
        <w:t>采购项目合同书</w:t>
      </w:r>
    </w:p>
    <w:tbl>
      <w:tblPr>
        <w:tblStyle w:val="54"/>
        <w:tblW w:w="8472" w:type="dxa"/>
        <w:jc w:val="center"/>
        <w:tblLayout w:type="fixed"/>
        <w:tblCellMar>
          <w:top w:w="0" w:type="dxa"/>
          <w:left w:w="108" w:type="dxa"/>
          <w:bottom w:w="0" w:type="dxa"/>
          <w:right w:w="108" w:type="dxa"/>
        </w:tblCellMar>
      </w:tblPr>
      <w:tblGrid>
        <w:gridCol w:w="1668"/>
        <w:gridCol w:w="6804"/>
      </w:tblGrid>
      <w:tr>
        <w:tblPrEx>
          <w:tblCellMar>
            <w:top w:w="0" w:type="dxa"/>
            <w:left w:w="108" w:type="dxa"/>
            <w:bottom w:w="0" w:type="dxa"/>
            <w:right w:w="108" w:type="dxa"/>
          </w:tblCellMar>
        </w:tblPrEx>
        <w:trPr>
          <w:trHeight w:val="567" w:hRule="atLeast"/>
          <w:jc w:val="center"/>
        </w:trPr>
        <w:tc>
          <w:tcPr>
            <w:tcW w:w="1668" w:type="dxa"/>
            <w:noWrap w:val="0"/>
            <w:vAlign w:val="center"/>
          </w:tcPr>
          <w:p>
            <w:pPr>
              <w:pStyle w:val="275"/>
              <w:spacing w:line="360" w:lineRule="auto"/>
              <w:rPr>
                <w:b/>
                <w:szCs w:val="22"/>
                <w:highlight w:val="none"/>
              </w:rPr>
            </w:pPr>
            <w:r>
              <w:rPr>
                <w:rFonts w:hint="eastAsia"/>
                <w:b/>
                <w:color w:val="000000"/>
                <w:sz w:val="24"/>
                <w:highlight w:val="none"/>
              </w:rPr>
              <w:t>项目名称</w:t>
            </w:r>
            <w:r>
              <w:rPr>
                <w:rFonts w:hint="eastAsia"/>
                <w:b/>
                <w:color w:val="000000"/>
                <w:highlight w:val="none"/>
              </w:rPr>
              <w:t>：</w:t>
            </w:r>
          </w:p>
        </w:tc>
        <w:tc>
          <w:tcPr>
            <w:tcW w:w="6804" w:type="dxa"/>
            <w:noWrap w:val="0"/>
            <w:vAlign w:val="center"/>
          </w:tcPr>
          <w:p>
            <w:pPr>
              <w:pStyle w:val="275"/>
              <w:spacing w:line="360" w:lineRule="auto"/>
              <w:jc w:val="left"/>
              <w:rPr>
                <w:sz w:val="24"/>
                <w:highlight w:val="none"/>
                <w:u w:val="single"/>
              </w:rPr>
            </w:pPr>
            <w:r>
              <w:rPr>
                <w:rFonts w:hint="eastAsia"/>
                <w:color w:val="000000"/>
                <w:sz w:val="24"/>
                <w:highlight w:val="none"/>
                <w:u w:val="single"/>
              </w:rPr>
              <w:t xml:space="preserve">                                                    </w:t>
            </w:r>
          </w:p>
        </w:tc>
      </w:tr>
      <w:tr>
        <w:tblPrEx>
          <w:tblCellMar>
            <w:top w:w="0" w:type="dxa"/>
            <w:left w:w="108" w:type="dxa"/>
            <w:bottom w:w="0" w:type="dxa"/>
            <w:right w:w="108" w:type="dxa"/>
          </w:tblCellMar>
        </w:tblPrEx>
        <w:trPr>
          <w:trHeight w:val="413" w:hRule="atLeast"/>
          <w:jc w:val="center"/>
        </w:trPr>
        <w:tc>
          <w:tcPr>
            <w:tcW w:w="1668" w:type="dxa"/>
            <w:noWrap w:val="0"/>
            <w:vAlign w:val="center"/>
          </w:tcPr>
          <w:p>
            <w:pPr>
              <w:pStyle w:val="275"/>
              <w:spacing w:line="360" w:lineRule="auto"/>
              <w:rPr>
                <w:b/>
                <w:sz w:val="24"/>
                <w:highlight w:val="none"/>
              </w:rPr>
            </w:pPr>
            <w:r>
              <w:rPr>
                <w:rFonts w:hint="eastAsia"/>
                <w:b/>
                <w:color w:val="000000"/>
                <w:sz w:val="24"/>
                <w:highlight w:val="none"/>
              </w:rPr>
              <w:t>项目编号：</w:t>
            </w:r>
          </w:p>
        </w:tc>
        <w:tc>
          <w:tcPr>
            <w:tcW w:w="6804" w:type="dxa"/>
            <w:noWrap w:val="0"/>
            <w:vAlign w:val="center"/>
          </w:tcPr>
          <w:p>
            <w:pPr>
              <w:pStyle w:val="275"/>
              <w:spacing w:line="360" w:lineRule="auto"/>
              <w:rPr>
                <w:sz w:val="24"/>
                <w:highlight w:val="none"/>
                <w:u w:val="single"/>
              </w:rPr>
            </w:pPr>
            <w:r>
              <w:rPr>
                <w:rFonts w:hint="eastAsia"/>
                <w:color w:val="000000"/>
                <w:sz w:val="24"/>
                <w:highlight w:val="none"/>
                <w:u w:val="single"/>
              </w:rPr>
              <w:t xml:space="preserve">                                                    </w:t>
            </w:r>
          </w:p>
        </w:tc>
      </w:tr>
      <w:tr>
        <w:tblPrEx>
          <w:tblCellMar>
            <w:top w:w="0" w:type="dxa"/>
            <w:left w:w="108" w:type="dxa"/>
            <w:bottom w:w="0" w:type="dxa"/>
            <w:right w:w="108" w:type="dxa"/>
          </w:tblCellMar>
        </w:tblPrEx>
        <w:trPr>
          <w:trHeight w:val="413" w:hRule="atLeast"/>
          <w:jc w:val="center"/>
        </w:trPr>
        <w:tc>
          <w:tcPr>
            <w:tcW w:w="1668" w:type="dxa"/>
            <w:noWrap w:val="0"/>
            <w:vAlign w:val="center"/>
          </w:tcPr>
          <w:p>
            <w:pPr>
              <w:pStyle w:val="275"/>
              <w:spacing w:line="360" w:lineRule="auto"/>
              <w:rPr>
                <w:b/>
                <w:sz w:val="24"/>
                <w:highlight w:val="none"/>
              </w:rPr>
            </w:pPr>
            <w:r>
              <w:rPr>
                <w:rFonts w:hint="eastAsia"/>
                <w:b/>
                <w:color w:val="000000"/>
                <w:sz w:val="24"/>
                <w:highlight w:val="none"/>
              </w:rPr>
              <w:t>甲</w:t>
            </w:r>
            <w:r>
              <w:rPr>
                <w:b/>
                <w:color w:val="000000"/>
                <w:sz w:val="24"/>
                <w:highlight w:val="none"/>
              </w:rPr>
              <w:t xml:space="preserve">    </w:t>
            </w:r>
            <w:r>
              <w:rPr>
                <w:rFonts w:hint="eastAsia"/>
                <w:b/>
                <w:color w:val="000000"/>
                <w:sz w:val="24"/>
                <w:highlight w:val="none"/>
              </w:rPr>
              <w:t>方：</w:t>
            </w:r>
          </w:p>
        </w:tc>
        <w:tc>
          <w:tcPr>
            <w:tcW w:w="6804" w:type="dxa"/>
            <w:noWrap w:val="0"/>
            <w:vAlign w:val="center"/>
          </w:tcPr>
          <w:p>
            <w:pPr>
              <w:pStyle w:val="275"/>
              <w:spacing w:line="360" w:lineRule="auto"/>
              <w:rPr>
                <w:sz w:val="24"/>
                <w:highlight w:val="none"/>
                <w:u w:val="single"/>
              </w:rPr>
            </w:pPr>
            <w:r>
              <w:rPr>
                <w:rFonts w:hint="eastAsia"/>
                <w:color w:val="000000"/>
                <w:sz w:val="24"/>
                <w:highlight w:val="none"/>
                <w:u w:val="single"/>
              </w:rPr>
              <w:t xml:space="preserve">  </w:t>
            </w:r>
            <w:r>
              <w:rPr>
                <w:rFonts w:hint="eastAsia" w:ascii="宋体" w:hAnsi="宋体"/>
                <w:color w:val="000000"/>
                <w:sz w:val="24"/>
                <w:highlight w:val="none"/>
                <w:u w:val="single"/>
              </w:rPr>
              <w:t>（采购人名称）</w:t>
            </w:r>
            <w:r>
              <w:rPr>
                <w:rFonts w:hint="eastAsia"/>
                <w:color w:val="000000"/>
                <w:sz w:val="24"/>
                <w:highlight w:val="none"/>
                <w:u w:val="single"/>
              </w:rPr>
              <w:t xml:space="preserve">                                    </w:t>
            </w:r>
          </w:p>
        </w:tc>
      </w:tr>
      <w:tr>
        <w:tblPrEx>
          <w:tblCellMar>
            <w:top w:w="0" w:type="dxa"/>
            <w:left w:w="108" w:type="dxa"/>
            <w:bottom w:w="0" w:type="dxa"/>
            <w:right w:w="108" w:type="dxa"/>
          </w:tblCellMar>
        </w:tblPrEx>
        <w:trPr>
          <w:trHeight w:val="413" w:hRule="atLeast"/>
          <w:jc w:val="center"/>
        </w:trPr>
        <w:tc>
          <w:tcPr>
            <w:tcW w:w="1668" w:type="dxa"/>
            <w:noWrap w:val="0"/>
            <w:vAlign w:val="center"/>
          </w:tcPr>
          <w:p>
            <w:pPr>
              <w:pStyle w:val="275"/>
              <w:spacing w:line="360" w:lineRule="auto"/>
              <w:rPr>
                <w:b/>
                <w:sz w:val="24"/>
                <w:highlight w:val="none"/>
              </w:rPr>
            </w:pPr>
            <w:r>
              <w:rPr>
                <w:rFonts w:hint="eastAsia" w:ascii="宋体" w:hAnsi="宋体"/>
                <w:b/>
                <w:color w:val="000000"/>
                <w:sz w:val="24"/>
                <w:highlight w:val="none"/>
              </w:rPr>
              <w:t>乙    方：</w:t>
            </w:r>
          </w:p>
        </w:tc>
        <w:tc>
          <w:tcPr>
            <w:tcW w:w="6804" w:type="dxa"/>
            <w:noWrap w:val="0"/>
            <w:vAlign w:val="center"/>
          </w:tcPr>
          <w:p>
            <w:pPr>
              <w:pStyle w:val="275"/>
              <w:spacing w:line="360" w:lineRule="auto"/>
              <w:rPr>
                <w:sz w:val="24"/>
                <w:highlight w:val="none"/>
                <w:u w:val="single"/>
              </w:rPr>
            </w:pP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u w:val="single"/>
              </w:rPr>
              <w:t xml:space="preserve"> （中标</w:t>
            </w:r>
            <w:r>
              <w:rPr>
                <w:rFonts w:hint="eastAsia" w:ascii="宋体" w:hAnsi="宋体"/>
                <w:color w:val="000000"/>
                <w:sz w:val="24"/>
                <w:highlight w:val="none"/>
                <w:u w:val="single"/>
                <w:lang w:eastAsia="zh-CN"/>
              </w:rPr>
              <w:t>人</w:t>
            </w:r>
            <w:r>
              <w:rPr>
                <w:rFonts w:hint="eastAsia" w:ascii="宋体" w:hAnsi="宋体"/>
                <w:color w:val="000000"/>
                <w:sz w:val="24"/>
                <w:highlight w:val="none"/>
                <w:u w:val="single"/>
                <w:lang w:val="en-US" w:eastAsia="zh-CN"/>
              </w:rPr>
              <w:t>名称</w:t>
            </w:r>
            <w:r>
              <w:rPr>
                <w:rFonts w:hint="eastAsia" w:ascii="宋体" w:hAnsi="宋体"/>
                <w:color w:val="000000"/>
                <w:sz w:val="24"/>
                <w:highlight w:val="none"/>
                <w:u w:val="single"/>
              </w:rPr>
              <w:t xml:space="preserve">）                   </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u w:val="single"/>
              </w:rPr>
              <w:t xml:space="preserve">             </w:t>
            </w:r>
          </w:p>
        </w:tc>
      </w:tr>
      <w:tr>
        <w:tblPrEx>
          <w:tblCellMar>
            <w:top w:w="0" w:type="dxa"/>
            <w:left w:w="108" w:type="dxa"/>
            <w:bottom w:w="0" w:type="dxa"/>
            <w:right w:w="108" w:type="dxa"/>
          </w:tblCellMar>
        </w:tblPrEx>
        <w:trPr>
          <w:trHeight w:val="413" w:hRule="atLeast"/>
          <w:jc w:val="center"/>
        </w:trPr>
        <w:tc>
          <w:tcPr>
            <w:tcW w:w="1668" w:type="dxa"/>
            <w:noWrap w:val="0"/>
            <w:vAlign w:val="center"/>
          </w:tcPr>
          <w:p>
            <w:pPr>
              <w:pStyle w:val="275"/>
              <w:spacing w:line="360" w:lineRule="auto"/>
              <w:rPr>
                <w:b/>
                <w:szCs w:val="22"/>
                <w:highlight w:val="none"/>
              </w:rPr>
            </w:pPr>
          </w:p>
        </w:tc>
        <w:tc>
          <w:tcPr>
            <w:tcW w:w="6804" w:type="dxa"/>
            <w:noWrap w:val="0"/>
            <w:vAlign w:val="center"/>
          </w:tcPr>
          <w:p>
            <w:pPr>
              <w:pStyle w:val="275"/>
              <w:spacing w:line="360" w:lineRule="auto"/>
              <w:rPr>
                <w:szCs w:val="22"/>
                <w:highlight w:val="none"/>
              </w:rPr>
            </w:pPr>
          </w:p>
        </w:tc>
      </w:tr>
    </w:tbl>
    <w:p>
      <w:pPr>
        <w:pStyle w:val="277"/>
        <w:spacing w:line="360" w:lineRule="auto"/>
        <w:ind w:firstLine="4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根据《中华人民共和国民法典</w:t>
      </w:r>
      <w:r>
        <w:rPr>
          <w:rFonts w:hint="eastAsia" w:ascii="宋体" w:hAnsi="宋体" w:eastAsia="宋体" w:cs="宋体"/>
          <w:color w:val="000000"/>
          <w:sz w:val="24"/>
          <w:szCs w:val="24"/>
          <w:highlight w:val="none"/>
          <w:lang w:val="en-US" w:eastAsia="zh-CN"/>
        </w:rPr>
        <w:t>(合同编</w:t>
      </w:r>
      <w:r>
        <w:rPr>
          <w:rFonts w:hint="eastAsia" w:ascii="宋体" w:hAnsi="宋体" w:eastAsia="宋体" w:cs="宋体"/>
          <w:color w:val="000000"/>
          <w:sz w:val="24"/>
          <w:szCs w:val="24"/>
          <w:highlight w:val="none"/>
        </w:rPr>
        <w:t>》和本项目</w:t>
      </w:r>
      <w:r>
        <w:rPr>
          <w:rFonts w:hint="eastAsia" w:ascii="宋体" w:hAnsi="宋体" w:eastAsia="宋体" w:cs="宋体"/>
          <w:color w:val="000000"/>
          <w:sz w:val="24"/>
          <w:szCs w:val="24"/>
          <w:highlight w:val="none"/>
          <w:lang w:val="en-US" w:eastAsia="zh-CN"/>
        </w:rPr>
        <w:t>招标</w:t>
      </w:r>
      <w:r>
        <w:rPr>
          <w:rFonts w:hint="eastAsia" w:ascii="宋体" w:hAnsi="宋体" w:eastAsia="宋体" w:cs="宋体"/>
          <w:color w:val="000000"/>
          <w:sz w:val="24"/>
          <w:szCs w:val="24"/>
          <w:highlight w:val="none"/>
        </w:rPr>
        <w:t>文件的要求，</w:t>
      </w:r>
      <w:r>
        <w:rPr>
          <w:rFonts w:hint="eastAsia" w:ascii="宋体" w:hAnsi="宋体" w:eastAsia="宋体" w:cs="宋体"/>
          <w:color w:val="000000"/>
          <w:kern w:val="28"/>
          <w:sz w:val="24"/>
          <w:szCs w:val="24"/>
          <w:highlight w:val="none"/>
        </w:rPr>
        <w:t>经双方协商，</w:t>
      </w:r>
      <w:r>
        <w:rPr>
          <w:rFonts w:hint="eastAsia" w:ascii="宋体" w:hAnsi="宋体" w:eastAsia="宋体" w:cs="宋体"/>
          <w:color w:val="000000"/>
          <w:sz w:val="24"/>
          <w:szCs w:val="24"/>
          <w:highlight w:val="none"/>
        </w:rPr>
        <w:t>本着平等互利和诚实信用的原则，</w:t>
      </w:r>
      <w:r>
        <w:rPr>
          <w:rFonts w:hint="eastAsia" w:ascii="宋体" w:hAnsi="宋体" w:eastAsia="宋体" w:cs="宋体"/>
          <w:color w:val="000000"/>
          <w:kern w:val="28"/>
          <w:sz w:val="24"/>
          <w:szCs w:val="24"/>
          <w:highlight w:val="none"/>
        </w:rPr>
        <w:t>一致同意签订本合同如下。</w:t>
      </w:r>
    </w:p>
    <w:p>
      <w:pPr>
        <w:autoSpaceDE w:val="0"/>
        <w:autoSpaceDN w:val="0"/>
        <w:adjustRightInd w:val="0"/>
        <w:spacing w:line="360" w:lineRule="auto"/>
        <w:jc w:val="left"/>
        <w:rPr>
          <w:rFonts w:hint="eastAsia" w:ascii="宋体" w:hAnsi="宋体" w:eastAsia="宋体" w:cs="宋体"/>
          <w:b/>
          <w:bCs/>
          <w:sz w:val="24"/>
          <w:lang w:val="zh-CN"/>
        </w:rPr>
      </w:pPr>
      <w:r>
        <w:rPr>
          <w:rFonts w:hint="eastAsia" w:ascii="宋体" w:hAnsi="宋体" w:cs="宋体"/>
          <w:b/>
          <w:bCs/>
          <w:sz w:val="24"/>
          <w:lang w:val="en-US" w:eastAsia="zh-CN"/>
        </w:rPr>
        <w:t xml:space="preserve">第一条  </w:t>
      </w:r>
      <w:r>
        <w:rPr>
          <w:rFonts w:hint="eastAsia" w:ascii="宋体" w:hAnsi="宋体" w:eastAsia="宋体" w:cs="宋体"/>
          <w:b/>
          <w:bCs/>
          <w:sz w:val="24"/>
          <w:lang w:val="zh-CN"/>
        </w:rPr>
        <w:t>产品名称、型号、规格、数量及价格：</w:t>
      </w:r>
    </w:p>
    <w:tbl>
      <w:tblPr>
        <w:tblStyle w:val="54"/>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990"/>
        <w:gridCol w:w="713"/>
        <w:gridCol w:w="630"/>
        <w:gridCol w:w="645"/>
        <w:gridCol w:w="915"/>
        <w:gridCol w:w="349"/>
        <w:gridCol w:w="491"/>
        <w:gridCol w:w="1020"/>
        <w:gridCol w:w="1662"/>
      </w:tblGrid>
      <w:tr>
        <w:tblPrEx>
          <w:tblCellMar>
            <w:top w:w="0" w:type="dxa"/>
            <w:left w:w="108" w:type="dxa"/>
            <w:bottom w:w="0" w:type="dxa"/>
            <w:right w:w="108" w:type="dxa"/>
          </w:tblCellMar>
        </w:tblPrEx>
        <w:trPr>
          <w:trHeight w:val="558" w:hRule="atLeast"/>
          <w:jc w:val="center"/>
        </w:trPr>
        <w:tc>
          <w:tcPr>
            <w:tcW w:w="1409" w:type="dxa"/>
            <w:noWrap w:val="0"/>
            <w:vAlign w:val="center"/>
          </w:tcPr>
          <w:p>
            <w:pPr>
              <w:autoSpaceDE w:val="0"/>
              <w:autoSpaceDN w:val="0"/>
              <w:adjustRightInd w:val="0"/>
              <w:spacing w:line="360" w:lineRule="auto"/>
              <w:jc w:val="center"/>
              <w:rPr>
                <w:rFonts w:hint="eastAsia" w:ascii="宋体" w:hAnsi="宋体" w:eastAsia="宋体" w:cs="宋体"/>
                <w:sz w:val="24"/>
                <w:lang w:val="zh-CN"/>
              </w:rPr>
            </w:pPr>
            <w:r>
              <w:rPr>
                <w:rFonts w:hint="eastAsia" w:ascii="宋体" w:hAnsi="宋体" w:eastAsia="宋体" w:cs="宋体"/>
                <w:sz w:val="24"/>
                <w:lang w:val="zh-CN"/>
              </w:rPr>
              <w:t>产品名称</w:t>
            </w:r>
          </w:p>
        </w:tc>
        <w:tc>
          <w:tcPr>
            <w:tcW w:w="1990" w:type="dxa"/>
            <w:noWrap w:val="0"/>
            <w:vAlign w:val="center"/>
          </w:tcPr>
          <w:p>
            <w:pPr>
              <w:autoSpaceDE w:val="0"/>
              <w:autoSpaceDN w:val="0"/>
              <w:adjustRightInd w:val="0"/>
              <w:spacing w:line="360" w:lineRule="auto"/>
              <w:jc w:val="center"/>
              <w:rPr>
                <w:rFonts w:hint="eastAsia" w:ascii="宋体" w:hAnsi="宋体" w:eastAsia="宋体" w:cs="宋体"/>
                <w:sz w:val="24"/>
                <w:lang w:val="zh-CN"/>
              </w:rPr>
            </w:pPr>
            <w:r>
              <w:rPr>
                <w:rFonts w:hint="eastAsia" w:ascii="宋体" w:hAnsi="宋体" w:eastAsia="宋体" w:cs="宋体"/>
                <w:sz w:val="24"/>
                <w:lang w:val="zh-CN"/>
              </w:rPr>
              <w:t>规格型号</w:t>
            </w:r>
          </w:p>
        </w:tc>
        <w:tc>
          <w:tcPr>
            <w:tcW w:w="713" w:type="dxa"/>
            <w:noWrap w:val="0"/>
            <w:vAlign w:val="center"/>
          </w:tcPr>
          <w:p>
            <w:pPr>
              <w:autoSpaceDE w:val="0"/>
              <w:autoSpaceDN w:val="0"/>
              <w:adjustRightInd w:val="0"/>
              <w:spacing w:line="360" w:lineRule="auto"/>
              <w:jc w:val="center"/>
              <w:rPr>
                <w:rFonts w:hint="eastAsia" w:ascii="宋体" w:hAnsi="宋体" w:eastAsia="宋体" w:cs="宋体"/>
                <w:sz w:val="24"/>
                <w:lang w:val="zh-CN"/>
              </w:rPr>
            </w:pPr>
            <w:r>
              <w:rPr>
                <w:rFonts w:hint="eastAsia" w:ascii="宋体" w:hAnsi="宋体" w:eastAsia="宋体" w:cs="宋体"/>
                <w:sz w:val="24"/>
                <w:lang w:val="zh-CN"/>
              </w:rPr>
              <w:t>材质</w:t>
            </w:r>
          </w:p>
        </w:tc>
        <w:tc>
          <w:tcPr>
            <w:tcW w:w="630" w:type="dxa"/>
            <w:noWrap w:val="0"/>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颜色</w:t>
            </w:r>
          </w:p>
        </w:tc>
        <w:tc>
          <w:tcPr>
            <w:tcW w:w="645" w:type="dxa"/>
            <w:noWrap w:val="0"/>
            <w:vAlign w:val="center"/>
          </w:tcPr>
          <w:p>
            <w:pPr>
              <w:autoSpaceDE w:val="0"/>
              <w:autoSpaceDN w:val="0"/>
              <w:adjustRightInd w:val="0"/>
              <w:spacing w:line="360" w:lineRule="auto"/>
              <w:jc w:val="center"/>
              <w:rPr>
                <w:rFonts w:hint="eastAsia" w:ascii="宋体" w:hAnsi="宋体" w:eastAsia="宋体" w:cs="宋体"/>
                <w:sz w:val="24"/>
                <w:lang w:val="zh-CN"/>
              </w:rPr>
            </w:pPr>
            <w:r>
              <w:rPr>
                <w:rFonts w:hint="eastAsia" w:ascii="宋体" w:hAnsi="宋体" w:eastAsia="宋体" w:cs="宋体"/>
                <w:sz w:val="24"/>
                <w:lang w:val="zh-CN"/>
              </w:rPr>
              <w:t>单 位</w:t>
            </w:r>
          </w:p>
        </w:tc>
        <w:tc>
          <w:tcPr>
            <w:tcW w:w="915" w:type="dxa"/>
            <w:noWrap w:val="0"/>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数量</w:t>
            </w:r>
          </w:p>
        </w:tc>
        <w:tc>
          <w:tcPr>
            <w:tcW w:w="840" w:type="dxa"/>
            <w:gridSpan w:val="2"/>
            <w:noWrap w:val="0"/>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lang w:val="zh-CN"/>
              </w:rPr>
              <w:t>单 价（</w:t>
            </w:r>
            <w:r>
              <w:rPr>
                <w:rFonts w:hint="eastAsia" w:ascii="宋体" w:hAnsi="宋体" w:eastAsia="宋体" w:cs="宋体"/>
                <w:sz w:val="24"/>
              </w:rPr>
              <w:t>元）</w:t>
            </w:r>
          </w:p>
        </w:tc>
        <w:tc>
          <w:tcPr>
            <w:tcW w:w="1020" w:type="dxa"/>
            <w:noWrap w:val="0"/>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lang w:val="zh-CN"/>
              </w:rPr>
              <w:t>金 额（</w:t>
            </w:r>
            <w:r>
              <w:rPr>
                <w:rFonts w:hint="eastAsia" w:ascii="宋体" w:hAnsi="宋体" w:eastAsia="宋体" w:cs="宋体"/>
                <w:sz w:val="24"/>
              </w:rPr>
              <w:t>元）</w:t>
            </w:r>
          </w:p>
        </w:tc>
        <w:tc>
          <w:tcPr>
            <w:tcW w:w="1662" w:type="dxa"/>
            <w:noWrap w:val="0"/>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09" w:type="dxa"/>
            <w:noWrap w:val="0"/>
            <w:vAlign w:val="center"/>
          </w:tcPr>
          <w:p>
            <w:pPr>
              <w:spacing w:line="360" w:lineRule="auto"/>
              <w:jc w:val="left"/>
              <w:rPr>
                <w:rFonts w:hint="eastAsia" w:ascii="宋体" w:hAnsi="宋体" w:eastAsia="宋体" w:cs="宋体"/>
                <w:bCs/>
                <w:sz w:val="24"/>
              </w:rPr>
            </w:pPr>
          </w:p>
        </w:tc>
        <w:tc>
          <w:tcPr>
            <w:tcW w:w="1990" w:type="dxa"/>
            <w:noWrap w:val="0"/>
            <w:vAlign w:val="center"/>
          </w:tcPr>
          <w:p>
            <w:pPr>
              <w:spacing w:line="360" w:lineRule="auto"/>
              <w:jc w:val="left"/>
              <w:rPr>
                <w:rFonts w:hint="eastAsia" w:ascii="宋体" w:hAnsi="宋体" w:eastAsia="宋体" w:cs="宋体"/>
                <w:sz w:val="24"/>
              </w:rPr>
            </w:pPr>
          </w:p>
        </w:tc>
        <w:tc>
          <w:tcPr>
            <w:tcW w:w="713" w:type="dxa"/>
            <w:noWrap w:val="0"/>
            <w:vAlign w:val="center"/>
          </w:tcPr>
          <w:p>
            <w:pPr>
              <w:spacing w:line="360" w:lineRule="auto"/>
              <w:jc w:val="left"/>
              <w:rPr>
                <w:rFonts w:hint="eastAsia" w:ascii="宋体" w:hAnsi="宋体" w:eastAsia="宋体" w:cs="宋体"/>
                <w:sz w:val="24"/>
              </w:rPr>
            </w:pPr>
          </w:p>
        </w:tc>
        <w:tc>
          <w:tcPr>
            <w:tcW w:w="630" w:type="dxa"/>
            <w:noWrap w:val="0"/>
            <w:vAlign w:val="center"/>
          </w:tcPr>
          <w:p>
            <w:pPr>
              <w:spacing w:line="360" w:lineRule="auto"/>
              <w:jc w:val="left"/>
              <w:rPr>
                <w:rFonts w:hint="eastAsia" w:ascii="宋体" w:hAnsi="宋体" w:eastAsia="宋体" w:cs="宋体"/>
                <w:sz w:val="24"/>
                <w:szCs w:val="24"/>
                <w:lang w:val="en-US" w:eastAsia="zh-CN"/>
              </w:rPr>
            </w:pPr>
          </w:p>
        </w:tc>
        <w:tc>
          <w:tcPr>
            <w:tcW w:w="645" w:type="dxa"/>
            <w:noWrap w:val="0"/>
            <w:vAlign w:val="center"/>
          </w:tcPr>
          <w:p>
            <w:pPr>
              <w:autoSpaceDE w:val="0"/>
              <w:autoSpaceDN w:val="0"/>
              <w:adjustRightInd w:val="0"/>
              <w:spacing w:line="360" w:lineRule="auto"/>
              <w:jc w:val="left"/>
              <w:rPr>
                <w:rFonts w:hint="eastAsia" w:ascii="宋体" w:hAnsi="宋体" w:eastAsia="宋体" w:cs="宋体"/>
                <w:sz w:val="24"/>
              </w:rPr>
            </w:pPr>
          </w:p>
        </w:tc>
        <w:tc>
          <w:tcPr>
            <w:tcW w:w="915" w:type="dxa"/>
            <w:noWrap w:val="0"/>
            <w:vAlign w:val="center"/>
          </w:tcPr>
          <w:p>
            <w:pPr>
              <w:autoSpaceDE w:val="0"/>
              <w:autoSpaceDN w:val="0"/>
              <w:adjustRightInd w:val="0"/>
              <w:spacing w:line="360" w:lineRule="auto"/>
              <w:jc w:val="left"/>
              <w:rPr>
                <w:rFonts w:hint="eastAsia" w:ascii="宋体" w:hAnsi="宋体" w:eastAsia="宋体" w:cs="宋体"/>
                <w:sz w:val="24"/>
              </w:rPr>
            </w:pPr>
          </w:p>
        </w:tc>
        <w:tc>
          <w:tcPr>
            <w:tcW w:w="840" w:type="dxa"/>
            <w:gridSpan w:val="2"/>
            <w:noWrap w:val="0"/>
            <w:vAlign w:val="center"/>
          </w:tcPr>
          <w:p>
            <w:pPr>
              <w:spacing w:line="360" w:lineRule="auto"/>
              <w:jc w:val="left"/>
              <w:rPr>
                <w:rFonts w:hint="eastAsia" w:ascii="宋体" w:hAnsi="宋体" w:eastAsia="宋体" w:cs="宋体"/>
                <w:sz w:val="24"/>
                <w:szCs w:val="24"/>
                <w:lang w:val="en-US" w:eastAsia="zh-CN"/>
              </w:rPr>
            </w:pPr>
          </w:p>
        </w:tc>
        <w:tc>
          <w:tcPr>
            <w:tcW w:w="1020" w:type="dxa"/>
            <w:noWrap w:val="0"/>
            <w:vAlign w:val="center"/>
          </w:tcPr>
          <w:p>
            <w:pPr>
              <w:autoSpaceDE w:val="0"/>
              <w:autoSpaceDN w:val="0"/>
              <w:adjustRightInd w:val="0"/>
              <w:spacing w:line="360" w:lineRule="auto"/>
              <w:jc w:val="left"/>
              <w:rPr>
                <w:rFonts w:hint="eastAsia" w:ascii="宋体" w:hAnsi="宋体" w:eastAsia="宋体" w:cs="宋体"/>
                <w:sz w:val="24"/>
                <w:lang w:val="en-US" w:eastAsia="zh-CN"/>
              </w:rPr>
            </w:pPr>
          </w:p>
        </w:tc>
        <w:tc>
          <w:tcPr>
            <w:tcW w:w="1662" w:type="dxa"/>
            <w:noWrap w:val="0"/>
            <w:vAlign w:val="center"/>
          </w:tcPr>
          <w:p>
            <w:pPr>
              <w:autoSpaceDE w:val="0"/>
              <w:autoSpaceDN w:val="0"/>
              <w:adjustRightInd w:val="0"/>
              <w:spacing w:line="360" w:lineRule="auto"/>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651" w:type="dxa"/>
            <w:gridSpan w:val="7"/>
            <w:noWrap w:val="0"/>
            <w:vAlign w:val="center"/>
          </w:tcPr>
          <w:p>
            <w:pPr>
              <w:autoSpaceDE w:val="0"/>
              <w:autoSpaceDN w:val="0"/>
              <w:adjustRightInd w:val="0"/>
              <w:spacing w:line="360" w:lineRule="auto"/>
              <w:jc w:val="left"/>
              <w:rPr>
                <w:rFonts w:hint="eastAsia" w:ascii="宋体" w:hAnsi="宋体" w:eastAsia="宋体" w:cs="宋体"/>
                <w:sz w:val="24"/>
              </w:rPr>
            </w:pPr>
            <w:r>
              <w:rPr>
                <w:rFonts w:hint="eastAsia" w:ascii="宋体" w:hAnsi="宋体" w:eastAsia="宋体" w:cs="宋体"/>
                <w:sz w:val="24"/>
                <w:lang w:val="zh-CN"/>
              </w:rPr>
              <w:t>合计人民币(大写)：</w:t>
            </w:r>
          </w:p>
        </w:tc>
        <w:tc>
          <w:tcPr>
            <w:tcW w:w="3173" w:type="dxa"/>
            <w:gridSpan w:val="3"/>
            <w:noWrap w:val="0"/>
            <w:vAlign w:val="center"/>
          </w:tcPr>
          <w:p>
            <w:pPr>
              <w:autoSpaceDE w:val="0"/>
              <w:autoSpaceDN w:val="0"/>
              <w:adjustRightInd w:val="0"/>
              <w:spacing w:line="360" w:lineRule="auto"/>
              <w:ind w:firstLine="120" w:firstLineChars="50"/>
              <w:jc w:val="left"/>
              <w:rPr>
                <w:rFonts w:hint="eastAsia" w:ascii="宋体" w:hAnsi="宋体" w:eastAsia="宋体" w:cs="宋体"/>
                <w:sz w:val="24"/>
                <w:lang w:val="en-US" w:eastAsia="zh-CN"/>
              </w:rPr>
            </w:pPr>
            <w:r>
              <w:rPr>
                <w:rFonts w:hint="eastAsia" w:ascii="宋体" w:hAnsi="宋体" w:eastAsia="宋体" w:cs="宋体"/>
                <w:sz w:val="24"/>
                <w:lang w:val="zh-CN"/>
              </w:rPr>
              <w:t>￥：</w:t>
            </w:r>
          </w:p>
        </w:tc>
      </w:tr>
    </w:tbl>
    <w:p>
      <w:pPr>
        <w:numPr>
          <w:ilvl w:val="0"/>
          <w:numId w:val="66"/>
        </w:numPr>
        <w:autoSpaceDE w:val="0"/>
        <w:autoSpaceDN w:val="0"/>
        <w:adjustRightInd w:val="0"/>
        <w:spacing w:line="360" w:lineRule="auto"/>
        <w:ind w:left="0" w:leftChars="0" w:firstLine="403" w:firstLineChars="0"/>
        <w:jc w:val="left"/>
        <w:rPr>
          <w:rFonts w:hint="eastAsia" w:ascii="宋体" w:hAnsi="宋体" w:eastAsia="宋体" w:cs="宋体"/>
          <w:sz w:val="24"/>
          <w:lang w:val="zh-CN"/>
        </w:rPr>
      </w:pPr>
      <w:r>
        <w:rPr>
          <w:rFonts w:hint="eastAsia" w:ascii="宋体" w:hAnsi="宋体" w:eastAsia="宋体" w:cs="宋体"/>
          <w:sz w:val="24"/>
          <w:lang w:val="zh-CN"/>
        </w:rPr>
        <w:t>以上价格为含税13</w:t>
      </w:r>
      <w:r>
        <w:rPr>
          <w:rFonts w:hint="eastAsia" w:ascii="宋体" w:hAnsi="宋体" w:cs="宋体"/>
          <w:sz w:val="24"/>
          <w:lang w:val="zh-CN"/>
        </w:rPr>
        <w:t>％</w:t>
      </w:r>
      <w:r>
        <w:rPr>
          <w:rFonts w:hint="eastAsia" w:ascii="宋体" w:hAnsi="宋体" w:eastAsia="宋体" w:cs="宋体"/>
          <w:sz w:val="24"/>
          <w:lang w:val="zh-CN"/>
        </w:rPr>
        <w:t>价格。</w:t>
      </w:r>
    </w:p>
    <w:p>
      <w:pPr>
        <w:numPr>
          <w:ilvl w:val="0"/>
          <w:numId w:val="66"/>
        </w:numPr>
        <w:autoSpaceDE w:val="0"/>
        <w:autoSpaceDN w:val="0"/>
        <w:adjustRightInd w:val="0"/>
        <w:spacing w:line="360" w:lineRule="auto"/>
        <w:ind w:left="0" w:leftChars="0" w:firstLine="403" w:firstLineChars="0"/>
        <w:jc w:val="left"/>
        <w:rPr>
          <w:rFonts w:hint="eastAsia" w:ascii="宋体" w:hAnsi="宋体" w:eastAsia="宋体" w:cs="宋体"/>
          <w:sz w:val="24"/>
          <w:lang w:val="en-US" w:eastAsia="zh-CN"/>
        </w:rPr>
      </w:pPr>
      <w:r>
        <w:rPr>
          <w:rFonts w:hint="eastAsia" w:ascii="宋体" w:hAnsi="宋体" w:eastAsia="宋体" w:cs="宋体"/>
          <w:sz w:val="24"/>
          <w:lang w:val="zh-CN"/>
        </w:rPr>
        <w:t>此价格已</w:t>
      </w:r>
      <w:r>
        <w:rPr>
          <w:rFonts w:hint="eastAsia" w:ascii="宋体" w:hAnsi="宋体" w:eastAsia="宋体" w:cs="宋体"/>
          <w:color w:val="auto"/>
          <w:sz w:val="24"/>
          <w:szCs w:val="24"/>
          <w:highlight w:val="none"/>
          <w:lang w:val="en-US" w:eastAsia="zh-CN"/>
        </w:rPr>
        <w:t>包括</w:t>
      </w:r>
      <w:r>
        <w:rPr>
          <w:rFonts w:hint="eastAsia" w:ascii="宋体" w:hAnsi="宋体" w:cs="宋体"/>
          <w:color w:val="auto"/>
          <w:sz w:val="24"/>
          <w:szCs w:val="24"/>
          <w:highlight w:val="none"/>
          <w:lang w:val="en-US" w:eastAsia="zh-CN"/>
        </w:rPr>
        <w:t>本项目所包含的货物、标准附件、备品备件、专用工具、图纸资料、技术服务，包装、仓储、运输、装卸、保险、税金，货到就位以及安装、调试、培训、保修等一切税金和费用</w:t>
      </w:r>
    </w:p>
    <w:p>
      <w:pPr>
        <w:numPr>
          <w:ilvl w:val="0"/>
          <w:numId w:val="66"/>
        </w:numPr>
        <w:autoSpaceDE w:val="0"/>
        <w:autoSpaceDN w:val="0"/>
        <w:adjustRightInd w:val="0"/>
        <w:spacing w:line="360" w:lineRule="auto"/>
        <w:ind w:left="0" w:leftChars="0" w:firstLine="403" w:firstLineChars="0"/>
        <w:jc w:val="left"/>
        <w:rPr>
          <w:rFonts w:hint="eastAsia" w:ascii="宋体" w:hAnsi="宋体" w:eastAsia="宋体" w:cs="宋体"/>
          <w:sz w:val="24"/>
          <w:lang w:val="en-US" w:eastAsia="zh-CN"/>
        </w:rPr>
      </w:pPr>
      <w:r>
        <w:rPr>
          <w:rFonts w:hint="eastAsia" w:ascii="宋体" w:hAnsi="宋体" w:eastAsia="宋体" w:cs="宋体"/>
          <w:sz w:val="24"/>
          <w:lang w:val="zh-CN"/>
        </w:rPr>
        <w:t>交货期：</w:t>
      </w:r>
      <w:r>
        <w:rPr>
          <w:rFonts w:hint="eastAsia" w:ascii="宋体" w:hAnsi="宋体" w:cs="宋体"/>
          <w:color w:val="auto"/>
          <w:spacing w:val="-2"/>
          <w:sz w:val="24"/>
          <w:szCs w:val="24"/>
          <w:highlight w:val="none"/>
          <w:lang w:eastAsia="zh-CN"/>
        </w:rPr>
        <w:t>自合同签订之日起25天</w:t>
      </w:r>
      <w:r>
        <w:rPr>
          <w:rFonts w:hint="eastAsia" w:ascii="宋体" w:hAnsi="宋体" w:cs="宋体"/>
          <w:color w:val="auto"/>
          <w:spacing w:val="-2"/>
          <w:sz w:val="24"/>
          <w:szCs w:val="24"/>
          <w:highlight w:val="none"/>
          <w:lang w:val="en-US" w:eastAsia="zh-CN"/>
        </w:rPr>
        <w:t>内完成</w:t>
      </w:r>
      <w:r>
        <w:rPr>
          <w:rFonts w:hint="eastAsia" w:ascii="宋体" w:hAnsi="宋体" w:cs="宋体"/>
          <w:color w:val="auto"/>
          <w:spacing w:val="-2"/>
          <w:sz w:val="24"/>
          <w:szCs w:val="24"/>
          <w:highlight w:val="none"/>
          <w:lang w:eastAsia="zh-CN"/>
        </w:rPr>
        <w:t>交付</w:t>
      </w:r>
      <w:r>
        <w:rPr>
          <w:rFonts w:hint="eastAsia" w:ascii="宋体" w:hAnsi="宋体" w:eastAsia="宋体" w:cs="宋体"/>
          <w:sz w:val="24"/>
          <w:lang w:val="en-US" w:eastAsia="zh-CN"/>
        </w:rPr>
        <w:t>。</w:t>
      </w:r>
    </w:p>
    <w:p>
      <w:pPr>
        <w:numPr>
          <w:ilvl w:val="0"/>
          <w:numId w:val="66"/>
        </w:numPr>
        <w:autoSpaceDE w:val="0"/>
        <w:autoSpaceDN w:val="0"/>
        <w:adjustRightInd w:val="0"/>
        <w:spacing w:line="360" w:lineRule="auto"/>
        <w:ind w:left="0" w:leftChars="0" w:firstLine="403" w:firstLineChars="0"/>
        <w:jc w:val="left"/>
        <w:rPr>
          <w:rFonts w:hint="eastAsia" w:ascii="宋体" w:hAnsi="宋体" w:eastAsia="宋体" w:cs="宋体"/>
          <w:sz w:val="24"/>
          <w:lang w:val="zh-CN"/>
        </w:rPr>
      </w:pPr>
      <w:r>
        <w:rPr>
          <w:rFonts w:hint="eastAsia" w:ascii="宋体" w:hAnsi="宋体" w:eastAsia="宋体" w:cs="宋体"/>
          <w:sz w:val="24"/>
        </w:rPr>
        <w:t>交货地点：</w:t>
      </w:r>
      <w:r>
        <w:rPr>
          <w:rFonts w:hint="eastAsia" w:ascii="宋体" w:hAnsi="宋体" w:cs="宋体"/>
          <w:sz w:val="24"/>
          <w:szCs w:val="22"/>
          <w:highlight w:val="none"/>
          <w:lang w:val="en-US" w:eastAsia="zh-CN"/>
        </w:rPr>
        <w:t>乙方</w:t>
      </w:r>
      <w:r>
        <w:rPr>
          <w:rFonts w:hint="eastAsia" w:ascii="宋体" w:hAnsi="宋体" w:eastAsia="宋体" w:cs="宋体"/>
          <w:sz w:val="24"/>
          <w:szCs w:val="22"/>
          <w:highlight w:val="none"/>
          <w:lang w:val="en-US"/>
        </w:rPr>
        <w:t>在签订合同并收到</w:t>
      </w:r>
      <w:r>
        <w:rPr>
          <w:rFonts w:hint="eastAsia" w:ascii="宋体" w:hAnsi="宋体" w:eastAsia="宋体" w:cs="宋体"/>
          <w:sz w:val="24"/>
          <w:szCs w:val="22"/>
          <w:highlight w:val="none"/>
          <w:lang w:val="en-US" w:eastAsia="zh-CN"/>
        </w:rPr>
        <w:t>采购人</w:t>
      </w:r>
      <w:r>
        <w:rPr>
          <w:rFonts w:hint="eastAsia" w:ascii="宋体" w:hAnsi="宋体" w:eastAsia="宋体" w:cs="宋体"/>
          <w:sz w:val="24"/>
          <w:szCs w:val="22"/>
          <w:highlight w:val="none"/>
          <w:lang w:val="en-US"/>
        </w:rPr>
        <w:t>订单后，根据</w:t>
      </w:r>
      <w:r>
        <w:rPr>
          <w:rFonts w:hint="eastAsia" w:ascii="宋体" w:hAnsi="宋体" w:cs="宋体"/>
          <w:sz w:val="24"/>
          <w:szCs w:val="22"/>
          <w:highlight w:val="none"/>
          <w:lang w:val="en-US" w:eastAsia="zh-CN"/>
        </w:rPr>
        <w:t>甲方</w:t>
      </w:r>
      <w:r>
        <w:rPr>
          <w:rFonts w:hint="eastAsia" w:ascii="宋体" w:hAnsi="宋体" w:eastAsia="宋体" w:cs="宋体"/>
          <w:sz w:val="24"/>
          <w:szCs w:val="22"/>
          <w:highlight w:val="none"/>
          <w:lang w:val="en-US"/>
        </w:rPr>
        <w:t>要求的合理时限将订单所有产品送到指定地点</w:t>
      </w:r>
      <w:r>
        <w:rPr>
          <w:rFonts w:hint="eastAsia" w:ascii="宋体" w:hAnsi="宋体" w:cs="宋体"/>
          <w:sz w:val="24"/>
          <w:lang w:eastAsia="zh-CN"/>
        </w:rPr>
        <w:t>。</w:t>
      </w:r>
    </w:p>
    <w:p>
      <w:pPr>
        <w:numPr>
          <w:ilvl w:val="0"/>
          <w:numId w:val="66"/>
        </w:numPr>
        <w:autoSpaceDE w:val="0"/>
        <w:autoSpaceDN w:val="0"/>
        <w:adjustRightInd w:val="0"/>
        <w:spacing w:line="360" w:lineRule="auto"/>
        <w:ind w:left="0" w:leftChars="0" w:firstLine="403" w:firstLineChars="0"/>
        <w:jc w:val="left"/>
        <w:rPr>
          <w:rFonts w:hint="eastAsia" w:ascii="宋体" w:hAnsi="宋体" w:eastAsia="宋体" w:cs="宋体"/>
          <w:sz w:val="24"/>
          <w:lang w:val="en-US" w:eastAsia="zh-CN"/>
        </w:rPr>
      </w:pPr>
      <w:r>
        <w:rPr>
          <w:rFonts w:hint="eastAsia" w:ascii="宋体" w:hAnsi="宋体" w:eastAsia="宋体" w:cs="宋体"/>
          <w:sz w:val="24"/>
          <w:lang w:val="zh-CN"/>
        </w:rPr>
        <w:t>产品的交货方法：乙方负责送货至甲方</w:t>
      </w:r>
      <w:r>
        <w:rPr>
          <w:rFonts w:hint="eastAsia" w:ascii="宋体" w:hAnsi="宋体" w:eastAsia="宋体" w:cs="宋体"/>
          <w:sz w:val="24"/>
          <w:lang w:val="en-US" w:eastAsia="zh-CN"/>
        </w:rPr>
        <w:t>指定位置。</w:t>
      </w:r>
    </w:p>
    <w:p>
      <w:pPr>
        <w:autoSpaceDE w:val="0"/>
        <w:autoSpaceDN w:val="0"/>
        <w:adjustRightInd w:val="0"/>
        <w:spacing w:line="360" w:lineRule="auto"/>
        <w:jc w:val="left"/>
        <w:rPr>
          <w:rFonts w:hint="eastAsia" w:ascii="宋体" w:hAnsi="宋体" w:eastAsia="宋体" w:cs="宋体"/>
          <w:b/>
          <w:bCs/>
          <w:sz w:val="24"/>
          <w:lang w:val="zh-CN"/>
        </w:rPr>
      </w:pPr>
      <w:r>
        <w:rPr>
          <w:rFonts w:hint="eastAsia" w:ascii="宋体" w:hAnsi="宋体" w:cs="宋体"/>
          <w:b/>
          <w:bCs/>
          <w:sz w:val="24"/>
          <w:lang w:val="en-US" w:eastAsia="zh-CN"/>
        </w:rPr>
        <w:t xml:space="preserve">第二条  </w:t>
      </w:r>
      <w:r>
        <w:rPr>
          <w:rFonts w:hint="eastAsia" w:ascii="宋体" w:hAnsi="宋体" w:eastAsia="宋体" w:cs="宋体"/>
          <w:b/>
          <w:bCs/>
          <w:sz w:val="24"/>
          <w:lang w:val="zh-CN"/>
        </w:rPr>
        <w:t>付款方式</w:t>
      </w:r>
    </w:p>
    <w:p>
      <w:pPr>
        <w:pStyle w:val="73"/>
        <w:keepNext w:val="0"/>
        <w:keepLines w:val="0"/>
        <w:pageBreakBefore w:val="0"/>
        <w:numPr>
          <w:ilvl w:val="0"/>
          <w:numId w:val="67"/>
        </w:numPr>
        <w:shd w:val="clear" w:color="auto" w:fill="auto"/>
        <w:kinsoku/>
        <w:wordWrap/>
        <w:overflowPunct/>
        <w:topLinePunct w:val="0"/>
        <w:bidi w:val="0"/>
        <w:snapToGrid/>
        <w:spacing w:line="360" w:lineRule="auto"/>
        <w:ind w:left="0" w:leftChars="0" w:firstLine="403" w:firstLineChars="0"/>
        <w:textAlignment w:val="auto"/>
        <w:rPr>
          <w:rFonts w:hint="eastAsia" w:ascii="宋体" w:hAnsi="宋体" w:eastAsia="宋体" w:cs="宋体"/>
          <w:kern w:val="2"/>
          <w:sz w:val="24"/>
          <w:szCs w:val="24"/>
          <w:lang w:val="en-US" w:eastAsia="zh-CN" w:bidi="ar-SA"/>
        </w:rPr>
      </w:pPr>
      <w:r>
        <w:rPr>
          <w:rFonts w:hint="eastAsia"/>
          <w:lang w:eastAsia="zh-CN"/>
        </w:rPr>
        <w:t>合同签订</w:t>
      </w:r>
      <w:r>
        <w:rPr>
          <w:rFonts w:ascii="新宋体" w:hAnsi="新宋体" w:eastAsia="新宋体" w:cs="新宋体"/>
          <w:color w:val="000000"/>
          <w:kern w:val="0"/>
          <w:sz w:val="24"/>
          <w:szCs w:val="24"/>
          <w:lang w:val="en-US" w:eastAsia="zh-CN" w:bidi="ar"/>
        </w:rPr>
        <w:t>后</w:t>
      </w:r>
      <w:r>
        <w:rPr>
          <w:rFonts w:hint="eastAsia" w:ascii="新宋体" w:hAnsi="新宋体" w:eastAsia="新宋体" w:cs="新宋体"/>
          <w:color w:val="000000"/>
          <w:kern w:val="0"/>
          <w:sz w:val="24"/>
          <w:szCs w:val="24"/>
          <w:lang w:val="en-US" w:eastAsia="zh-CN" w:bidi="ar"/>
        </w:rPr>
        <w:t>10个日历天内支付合同</w:t>
      </w:r>
      <w:r>
        <w:rPr>
          <w:rFonts w:ascii="新宋体" w:hAnsi="新宋体" w:eastAsia="新宋体" w:cs="新宋体"/>
          <w:color w:val="000000"/>
          <w:kern w:val="0"/>
          <w:sz w:val="24"/>
          <w:szCs w:val="24"/>
          <w:lang w:val="en-US" w:eastAsia="zh-CN" w:bidi="ar"/>
        </w:rPr>
        <w:t>总金额的50</w:t>
      </w:r>
      <w:r>
        <w:rPr>
          <w:rFonts w:hint="eastAsia" w:ascii="新宋体" w:hAnsi="新宋体" w:eastAsia="新宋体" w:cs="新宋体"/>
          <w:color w:val="000000"/>
          <w:kern w:val="0"/>
          <w:sz w:val="24"/>
          <w:szCs w:val="24"/>
          <w:lang w:val="en-US" w:eastAsia="zh-CN" w:bidi="ar"/>
        </w:rPr>
        <w:t>％，余下款项在托盘全部交付验收合格后30个日历天内一次性付清</w:t>
      </w:r>
      <w:r>
        <w:rPr>
          <w:rFonts w:hint="eastAsia" w:ascii="宋体" w:hAnsi="宋体" w:eastAsia="宋体" w:cs="宋体"/>
          <w:kern w:val="2"/>
          <w:sz w:val="24"/>
          <w:szCs w:val="24"/>
          <w:lang w:val="en-US" w:eastAsia="zh-CN" w:bidi="ar-SA"/>
        </w:rPr>
        <w:t>。</w:t>
      </w:r>
    </w:p>
    <w:p>
      <w:pPr>
        <w:pStyle w:val="73"/>
        <w:keepNext w:val="0"/>
        <w:keepLines w:val="0"/>
        <w:pageBreakBefore w:val="0"/>
        <w:numPr>
          <w:ilvl w:val="0"/>
          <w:numId w:val="67"/>
        </w:numPr>
        <w:shd w:val="clear" w:color="auto" w:fill="auto"/>
        <w:kinsoku/>
        <w:wordWrap/>
        <w:overflowPunct/>
        <w:topLinePunct w:val="0"/>
        <w:bidi w:val="0"/>
        <w:snapToGrid/>
        <w:spacing w:line="360" w:lineRule="auto"/>
        <w:ind w:left="0" w:leftChars="0" w:firstLine="403"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上</w:t>
      </w:r>
      <w:r>
        <w:rPr>
          <w:rFonts w:hint="eastAsia" w:ascii="宋体" w:hAnsi="宋体" w:eastAsia="宋体" w:cs="宋体"/>
          <w:kern w:val="2"/>
          <w:sz w:val="24"/>
          <w:szCs w:val="24"/>
          <w:lang w:val="zh-CN" w:eastAsia="zh-CN" w:bidi="ar-SA"/>
        </w:rPr>
        <w:t>述款项均不计算利息。</w:t>
      </w:r>
      <w:r>
        <w:rPr>
          <w:rFonts w:hint="eastAsia" w:ascii="宋体" w:hAnsi="宋体" w:cs="宋体"/>
          <w:kern w:val="2"/>
          <w:sz w:val="24"/>
          <w:szCs w:val="24"/>
          <w:lang w:val="en-US" w:eastAsia="zh-CN" w:bidi="ar-SA"/>
        </w:rPr>
        <w:t>乙方</w:t>
      </w:r>
      <w:r>
        <w:rPr>
          <w:rFonts w:hint="eastAsia" w:ascii="宋体" w:hAnsi="宋体" w:eastAsia="宋体" w:cs="宋体"/>
          <w:kern w:val="2"/>
          <w:sz w:val="24"/>
          <w:szCs w:val="24"/>
          <w:lang w:val="zh-CN" w:eastAsia="zh-CN" w:bidi="ar-SA"/>
        </w:rPr>
        <w:t>应严格按税收政策规定，在收取</w:t>
      </w:r>
      <w:r>
        <w:rPr>
          <w:rFonts w:hint="eastAsia" w:ascii="宋体" w:hAnsi="宋体" w:eastAsia="宋体" w:cs="宋体"/>
          <w:kern w:val="2"/>
          <w:sz w:val="24"/>
          <w:szCs w:val="24"/>
          <w:lang w:val="en-US" w:eastAsia="zh-CN" w:bidi="ar-SA"/>
        </w:rPr>
        <w:t>款项</w:t>
      </w:r>
      <w:r>
        <w:rPr>
          <w:rFonts w:hint="eastAsia" w:ascii="宋体" w:hAnsi="宋体" w:eastAsia="宋体" w:cs="宋体"/>
          <w:kern w:val="2"/>
          <w:sz w:val="24"/>
          <w:szCs w:val="24"/>
          <w:lang w:val="zh-CN" w:eastAsia="zh-CN" w:bidi="ar-SA"/>
        </w:rPr>
        <w:t>时，向</w:t>
      </w:r>
      <w:r>
        <w:rPr>
          <w:rFonts w:hint="eastAsia" w:ascii="宋体" w:hAnsi="宋体" w:cs="宋体"/>
          <w:kern w:val="2"/>
          <w:sz w:val="24"/>
          <w:szCs w:val="24"/>
          <w:lang w:val="en-US" w:eastAsia="zh-CN" w:bidi="ar-SA"/>
        </w:rPr>
        <w:t>甲方</w:t>
      </w:r>
      <w:r>
        <w:rPr>
          <w:rFonts w:hint="eastAsia" w:ascii="宋体" w:hAnsi="宋体" w:eastAsia="宋体" w:cs="宋体"/>
          <w:kern w:val="2"/>
          <w:sz w:val="24"/>
          <w:szCs w:val="24"/>
          <w:lang w:val="zh-CN" w:eastAsia="zh-CN" w:bidi="ar-SA"/>
        </w:rPr>
        <w:t>提供</w:t>
      </w:r>
      <w:r>
        <w:rPr>
          <w:rFonts w:hint="eastAsia" w:ascii="宋体" w:hAnsi="宋体" w:eastAsia="宋体" w:cs="宋体"/>
          <w:kern w:val="2"/>
          <w:sz w:val="24"/>
          <w:szCs w:val="24"/>
          <w:lang w:val="en-US" w:eastAsia="zh-CN" w:bidi="ar-SA"/>
        </w:rPr>
        <w:t>13%的</w:t>
      </w:r>
      <w:r>
        <w:rPr>
          <w:rFonts w:hint="eastAsia" w:ascii="宋体" w:hAnsi="宋体" w:eastAsia="宋体" w:cs="宋体"/>
          <w:kern w:val="2"/>
          <w:sz w:val="24"/>
          <w:szCs w:val="24"/>
          <w:lang w:val="zh-CN" w:eastAsia="zh-CN" w:bidi="ar-SA"/>
        </w:rPr>
        <w:t>增值税发票</w:t>
      </w:r>
      <w:r>
        <w:rPr>
          <w:rFonts w:hint="eastAsia" w:ascii="宋体" w:hAnsi="宋体" w:eastAsia="宋体" w:cs="宋体"/>
          <w:kern w:val="2"/>
          <w:sz w:val="24"/>
          <w:szCs w:val="24"/>
          <w:lang w:val="en-US" w:eastAsia="zh-CN" w:bidi="ar-SA"/>
        </w:rPr>
        <w:t>，否则甲方有权延后付款且不视为甲方违约，不需对乙方承担任何违约责任。</w:t>
      </w:r>
    </w:p>
    <w:p>
      <w:pPr>
        <w:pStyle w:val="73"/>
        <w:keepNext w:val="0"/>
        <w:keepLines w:val="0"/>
        <w:pageBreakBefore w:val="0"/>
        <w:numPr>
          <w:ilvl w:val="0"/>
          <w:numId w:val="67"/>
        </w:numPr>
        <w:shd w:val="clear" w:color="auto" w:fill="auto"/>
        <w:kinsoku/>
        <w:wordWrap/>
        <w:overflowPunct/>
        <w:topLinePunct w:val="0"/>
        <w:bidi w:val="0"/>
        <w:snapToGrid/>
        <w:spacing w:line="360" w:lineRule="auto"/>
        <w:ind w:left="0" w:leftChars="0" w:firstLine="403"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收款方、出具发票方、合同乙方均必须与中标人名称一致。</w:t>
      </w:r>
    </w:p>
    <w:p>
      <w:pPr>
        <w:autoSpaceDE w:val="0"/>
        <w:autoSpaceDN w:val="0"/>
        <w:adjustRightInd w:val="0"/>
        <w:spacing w:line="360" w:lineRule="auto"/>
        <w:jc w:val="left"/>
        <w:rPr>
          <w:rFonts w:hint="eastAsia" w:ascii="宋体" w:hAnsi="宋体" w:eastAsia="宋体" w:cs="宋体"/>
          <w:b/>
          <w:bCs/>
          <w:sz w:val="24"/>
          <w:lang w:val="zh-CN"/>
        </w:rPr>
      </w:pPr>
      <w:r>
        <w:rPr>
          <w:rFonts w:hint="eastAsia" w:ascii="宋体" w:hAnsi="宋体" w:cs="宋体"/>
          <w:b/>
          <w:bCs/>
          <w:sz w:val="24"/>
          <w:lang w:val="en-US" w:eastAsia="zh-CN"/>
        </w:rPr>
        <w:t xml:space="preserve">第三条  </w:t>
      </w:r>
      <w:r>
        <w:rPr>
          <w:rFonts w:hint="eastAsia" w:ascii="宋体" w:hAnsi="宋体" w:eastAsia="宋体" w:cs="宋体"/>
          <w:b/>
          <w:bCs/>
          <w:sz w:val="24"/>
        </w:rPr>
        <w:t>货物交付及</w:t>
      </w:r>
      <w:r>
        <w:rPr>
          <w:rFonts w:hint="eastAsia" w:ascii="宋体" w:hAnsi="宋体" w:eastAsia="宋体" w:cs="宋体"/>
          <w:b/>
          <w:bCs/>
          <w:sz w:val="24"/>
          <w:lang w:val="zh-CN"/>
        </w:rPr>
        <w:t>验收标准</w:t>
      </w:r>
    </w:p>
    <w:p>
      <w:pPr>
        <w:autoSpaceDE w:val="0"/>
        <w:autoSpaceDN w:val="0"/>
        <w:adjustRightInd w:val="0"/>
        <w:spacing w:line="360" w:lineRule="auto"/>
        <w:jc w:val="left"/>
        <w:rPr>
          <w:rFonts w:hint="eastAsia" w:ascii="宋体" w:hAnsi="宋体" w:eastAsia="宋体" w:cs="宋体"/>
          <w:sz w:val="24"/>
          <w:lang w:val="zh-CN"/>
        </w:rPr>
      </w:pPr>
      <w:r>
        <w:rPr>
          <w:rFonts w:hint="eastAsia" w:ascii="宋体" w:hAnsi="宋体" w:eastAsia="宋体" w:cs="宋体"/>
          <w:sz w:val="24"/>
          <w:lang w:val="zh-CN"/>
        </w:rPr>
        <w:t xml:space="preserve"> 产品的交付：</w:t>
      </w:r>
    </w:p>
    <w:p>
      <w:pPr>
        <w:autoSpaceDE w:val="0"/>
        <w:autoSpaceDN w:val="0"/>
        <w:adjustRightInd w:val="0"/>
        <w:spacing w:line="360" w:lineRule="auto"/>
        <w:jc w:val="left"/>
        <w:rPr>
          <w:rFonts w:hint="eastAsia" w:ascii="宋体" w:hAnsi="宋体" w:eastAsia="宋体" w:cs="宋体"/>
          <w:sz w:val="24"/>
          <w:lang w:val="zh-CN"/>
        </w:rPr>
      </w:pPr>
      <w:r>
        <w:rPr>
          <w:rFonts w:hint="eastAsia" w:ascii="宋体" w:hAnsi="宋体" w:eastAsia="宋体" w:cs="宋体"/>
          <w:sz w:val="24"/>
          <w:lang w:val="zh-CN"/>
        </w:rPr>
        <w:t>（一）订单合作条件：</w:t>
      </w:r>
    </w:p>
    <w:p>
      <w:pPr>
        <w:numPr>
          <w:ilvl w:val="0"/>
          <w:numId w:val="68"/>
        </w:numPr>
        <w:autoSpaceDE w:val="0"/>
        <w:autoSpaceDN w:val="0"/>
        <w:adjustRightInd w:val="0"/>
        <w:spacing w:line="360" w:lineRule="auto"/>
        <w:ind w:left="0" w:leftChars="0" w:firstLine="403" w:firstLineChars="0"/>
        <w:jc w:val="left"/>
        <w:rPr>
          <w:rFonts w:hint="eastAsia" w:ascii="宋体" w:hAnsi="宋体" w:eastAsia="宋体" w:cs="宋体"/>
          <w:sz w:val="24"/>
          <w:lang w:val="zh-CN"/>
        </w:rPr>
      </w:pPr>
      <w:r>
        <w:rPr>
          <w:rFonts w:hint="eastAsia" w:ascii="宋体" w:hAnsi="宋体" w:eastAsia="宋体" w:cs="宋体"/>
          <w:sz w:val="24"/>
          <w:lang w:val="zh-CN"/>
        </w:rPr>
        <w:t>合同期内乙方须确保甲方需求，若因乙方无法满足甲方用量而影响甲方正常生产，甲方有权止付乙方的到期货款，并从中扣除乙方给甲方造成的损失，且甲方有权单方解除合同。</w:t>
      </w:r>
    </w:p>
    <w:p>
      <w:pPr>
        <w:numPr>
          <w:ilvl w:val="0"/>
          <w:numId w:val="68"/>
        </w:numPr>
        <w:autoSpaceDE w:val="0"/>
        <w:autoSpaceDN w:val="0"/>
        <w:adjustRightInd w:val="0"/>
        <w:spacing w:line="360" w:lineRule="auto"/>
        <w:ind w:left="0" w:leftChars="0" w:firstLine="403" w:firstLineChars="0"/>
        <w:jc w:val="left"/>
        <w:rPr>
          <w:rFonts w:hint="eastAsia" w:ascii="宋体" w:hAnsi="宋体" w:eastAsia="宋体" w:cs="宋体"/>
          <w:sz w:val="24"/>
          <w:lang w:val="zh-CN"/>
        </w:rPr>
      </w:pPr>
      <w:r>
        <w:rPr>
          <w:rFonts w:hint="eastAsia" w:ascii="宋体" w:hAnsi="宋体" w:eastAsia="宋体" w:cs="宋体"/>
          <w:sz w:val="24"/>
          <w:lang w:val="zh-CN"/>
        </w:rPr>
        <w:t>运输方式：运输方式由乙方自选，费用由乙方承担,货物在途风险由乙方承担。如因乙方原因造成供货紧张，乙方必须积极配合甲方的实际需求安排紧急发运，差额费用由乙方承担。</w:t>
      </w:r>
    </w:p>
    <w:p>
      <w:pPr>
        <w:numPr>
          <w:ilvl w:val="0"/>
          <w:numId w:val="68"/>
        </w:numPr>
        <w:autoSpaceDE w:val="0"/>
        <w:autoSpaceDN w:val="0"/>
        <w:adjustRightInd w:val="0"/>
        <w:spacing w:line="360" w:lineRule="auto"/>
        <w:ind w:left="0" w:leftChars="0" w:firstLine="403" w:firstLineChars="0"/>
        <w:jc w:val="left"/>
        <w:rPr>
          <w:rFonts w:hint="eastAsia" w:ascii="宋体" w:hAnsi="宋体" w:eastAsia="宋体" w:cs="宋体"/>
          <w:sz w:val="24"/>
          <w:lang w:val="zh-CN"/>
        </w:rPr>
      </w:pPr>
      <w:r>
        <w:rPr>
          <w:rFonts w:hint="eastAsia" w:ascii="宋体" w:hAnsi="宋体" w:eastAsia="宋体" w:cs="宋体"/>
          <w:sz w:val="24"/>
          <w:lang w:val="zh-CN"/>
        </w:rPr>
        <w:t>运输周期及地点：乙方在签订合同并收到甲方订单后，根据甲方要求的合理时限将订单所有产品送到指定地点。</w:t>
      </w:r>
    </w:p>
    <w:p>
      <w:pPr>
        <w:numPr>
          <w:ilvl w:val="0"/>
          <w:numId w:val="68"/>
        </w:numPr>
        <w:autoSpaceDE w:val="0"/>
        <w:autoSpaceDN w:val="0"/>
        <w:adjustRightInd w:val="0"/>
        <w:spacing w:line="360" w:lineRule="auto"/>
        <w:ind w:left="0" w:leftChars="0" w:firstLine="403" w:firstLineChars="0"/>
        <w:jc w:val="left"/>
        <w:rPr>
          <w:rFonts w:hint="eastAsia" w:ascii="宋体" w:hAnsi="宋体" w:eastAsia="宋体" w:cs="宋体"/>
          <w:sz w:val="24"/>
          <w:lang w:val="zh-CN"/>
        </w:rPr>
      </w:pPr>
      <w:r>
        <w:rPr>
          <w:rFonts w:hint="eastAsia" w:ascii="宋体" w:hAnsi="宋体" w:eastAsia="宋体" w:cs="宋体"/>
          <w:sz w:val="24"/>
          <w:lang w:val="zh-CN"/>
        </w:rPr>
        <w:t>损耗标准及计算方法：无损耗，出现损耗一切损失由乙方自行承担。</w:t>
      </w:r>
    </w:p>
    <w:p>
      <w:pPr>
        <w:numPr>
          <w:ilvl w:val="0"/>
          <w:numId w:val="68"/>
        </w:numPr>
        <w:autoSpaceDE w:val="0"/>
        <w:autoSpaceDN w:val="0"/>
        <w:adjustRightInd w:val="0"/>
        <w:spacing w:line="360" w:lineRule="auto"/>
        <w:ind w:left="0" w:leftChars="0" w:firstLine="403" w:firstLineChars="0"/>
        <w:jc w:val="left"/>
        <w:rPr>
          <w:rFonts w:hint="eastAsia" w:ascii="宋体" w:hAnsi="宋体" w:eastAsia="宋体" w:cs="宋体"/>
          <w:sz w:val="24"/>
          <w:lang w:val="en-US" w:eastAsia="zh-CN"/>
        </w:rPr>
      </w:pPr>
      <w:r>
        <w:rPr>
          <w:rFonts w:hint="eastAsia" w:ascii="宋体" w:hAnsi="宋体" w:eastAsia="宋体" w:cs="宋体"/>
          <w:sz w:val="24"/>
          <w:lang w:val="en-US" w:eastAsia="zh-CN"/>
        </w:rPr>
        <w:t>验收标准：</w:t>
      </w:r>
    </w:p>
    <w:p>
      <w:pPr>
        <w:numPr>
          <w:ilvl w:val="0"/>
          <w:numId w:val="69"/>
        </w:numPr>
        <w:tabs>
          <w:tab w:val="left" w:pos="426"/>
          <w:tab w:val="clear" w:pos="420"/>
        </w:tabs>
        <w:spacing w:line="360" w:lineRule="auto"/>
        <w:ind w:left="845" w:leftChars="0" w:hanging="425" w:firstLineChars="0"/>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项目验收依次序对照执行标准为：①符合中华人民共和国国家和履约地相关安全质量标准、行业技术规范标准、环保节能标准；②符合</w:t>
      </w:r>
      <w:r>
        <w:rPr>
          <w:rFonts w:hint="eastAsia" w:ascii="宋体" w:hAnsi="宋体" w:cs="宋体"/>
          <w:kern w:val="2"/>
          <w:sz w:val="24"/>
          <w:szCs w:val="22"/>
          <w:highlight w:val="none"/>
          <w:lang w:val="en-US" w:eastAsia="zh-CN" w:bidi="ar-SA"/>
        </w:rPr>
        <w:t>招标</w:t>
      </w:r>
      <w:r>
        <w:rPr>
          <w:rFonts w:hint="eastAsia" w:ascii="宋体" w:hAnsi="宋体" w:eastAsia="宋体" w:cs="宋体"/>
          <w:kern w:val="2"/>
          <w:sz w:val="24"/>
          <w:szCs w:val="22"/>
          <w:highlight w:val="none"/>
          <w:lang w:val="en-US" w:eastAsia="zh-CN" w:bidi="ar-SA"/>
        </w:rPr>
        <w:t>文件和响应承诺中各方共同认可的合理最佳配置、参数规格及各项要求；③符合产品来源国家官方颁布的最新标准；④双方约定的其他验收标准。</w:t>
      </w:r>
    </w:p>
    <w:p>
      <w:pPr>
        <w:numPr>
          <w:ilvl w:val="0"/>
          <w:numId w:val="69"/>
        </w:numPr>
        <w:autoSpaceDE w:val="0"/>
        <w:autoSpaceDN w:val="0"/>
        <w:adjustRightInd w:val="0"/>
        <w:spacing w:line="360" w:lineRule="auto"/>
        <w:ind w:left="845" w:leftChars="0" w:hanging="425" w:firstLineChars="0"/>
        <w:jc w:val="left"/>
        <w:rPr>
          <w:rFonts w:hint="eastAsia" w:ascii="宋体" w:hAnsi="宋体" w:eastAsia="宋体" w:cs="宋体"/>
          <w:sz w:val="24"/>
        </w:rPr>
      </w:pPr>
      <w:r>
        <w:rPr>
          <w:rFonts w:hint="eastAsia" w:ascii="宋体" w:hAnsi="宋体" w:eastAsia="宋体" w:cs="宋体"/>
          <w:kern w:val="2"/>
          <w:sz w:val="24"/>
          <w:szCs w:val="22"/>
          <w:highlight w:val="none"/>
          <w:lang w:val="en-US" w:eastAsia="zh-CN" w:bidi="ar-SA"/>
        </w:rPr>
        <w:t>产品均为原厂制造的全新合格产品，且有合法透明的来源渠道，无侵权行为、无任何缺陷隐患，可依常规合法安全使用。</w:t>
      </w:r>
    </w:p>
    <w:p>
      <w:pPr>
        <w:pStyle w:val="46"/>
        <w:snapToGrid w:val="0"/>
        <w:spacing w:line="360" w:lineRule="auto"/>
        <w:jc w:val="left"/>
        <w:rPr>
          <w:rFonts w:hint="eastAsia" w:ascii="宋体" w:hAnsi="宋体" w:eastAsia="宋体" w:cs="宋体"/>
          <w:b/>
          <w:bCs/>
          <w:sz w:val="24"/>
          <w:szCs w:val="24"/>
          <w:lang w:eastAsia="zh-CN"/>
        </w:rPr>
      </w:pPr>
      <w:r>
        <w:rPr>
          <w:rFonts w:hint="eastAsia" w:ascii="宋体" w:hAnsi="宋体" w:cs="宋体"/>
          <w:b/>
          <w:bCs/>
          <w:sz w:val="24"/>
          <w:lang w:val="en-US" w:eastAsia="zh-CN"/>
        </w:rPr>
        <w:t xml:space="preserve">第四条  </w:t>
      </w:r>
      <w:r>
        <w:rPr>
          <w:rFonts w:hint="eastAsia" w:ascii="宋体" w:hAnsi="宋体" w:eastAsia="宋体" w:cs="宋体"/>
          <w:b/>
          <w:bCs/>
          <w:sz w:val="24"/>
          <w:szCs w:val="24"/>
          <w:lang w:eastAsia="zh-CN"/>
        </w:rPr>
        <w:t xml:space="preserve">质量保证及售后服务 </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乙方提供的托盘质保</w:t>
      </w:r>
      <w:r>
        <w:rPr>
          <w:rFonts w:hint="eastAsia" w:ascii="宋体" w:hAnsi="宋体" w:eastAsia="宋体" w:cs="宋体"/>
          <w:sz w:val="24"/>
          <w:szCs w:val="24"/>
          <w:lang w:val="en-US" w:eastAsia="zh-CN"/>
        </w:rPr>
        <w:t>期为3</w:t>
      </w:r>
      <w:r>
        <w:rPr>
          <w:rFonts w:hint="eastAsia" w:ascii="宋体" w:hAnsi="宋体" w:eastAsia="宋体" w:cs="宋体"/>
          <w:sz w:val="24"/>
          <w:szCs w:val="24"/>
          <w:lang w:eastAsia="zh-CN"/>
        </w:rPr>
        <w:t>年，从产品交付并验收合格之日起计算，</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年内如出现质量</w:t>
      </w:r>
      <w:r>
        <w:rPr>
          <w:rFonts w:hint="eastAsia" w:ascii="宋体" w:hAnsi="宋体" w:eastAsia="宋体" w:cs="宋体"/>
          <w:sz w:val="24"/>
          <w:szCs w:val="24"/>
          <w:lang w:val="en-US" w:eastAsia="zh-CN"/>
        </w:rPr>
        <w:t>问题</w:t>
      </w:r>
      <w:r>
        <w:rPr>
          <w:rFonts w:hint="eastAsia" w:ascii="宋体" w:hAnsi="宋体" w:eastAsia="宋体" w:cs="宋体"/>
          <w:sz w:val="24"/>
          <w:szCs w:val="24"/>
          <w:lang w:eastAsia="zh-CN"/>
        </w:rPr>
        <w:t>（恶意人为破坏的除外）</w:t>
      </w:r>
      <w:r>
        <w:rPr>
          <w:rFonts w:hint="eastAsia" w:ascii="宋体" w:hAnsi="宋体" w:eastAsia="宋体" w:cs="宋体"/>
          <w:sz w:val="24"/>
          <w:szCs w:val="24"/>
          <w:lang w:val="en-US" w:eastAsia="zh-CN"/>
        </w:rPr>
        <w:t>以1：1更换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3年后3:1更换，</w:t>
      </w:r>
      <w:r>
        <w:rPr>
          <w:rFonts w:hint="eastAsia" w:ascii="宋体" w:hAnsi="宋体" w:eastAsia="宋体" w:cs="宋体"/>
          <w:sz w:val="24"/>
          <w:szCs w:val="24"/>
          <w:lang w:eastAsia="zh-CN"/>
        </w:rPr>
        <w:t>运费由乙方负责；</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eastAsia="zh-CN"/>
        </w:rPr>
      </w:pPr>
      <w:r>
        <w:rPr>
          <w:rFonts w:hint="eastAsia" w:ascii="宋体" w:hAnsi="宋体" w:eastAsia="宋体" w:cs="宋体"/>
          <w:color w:val="auto"/>
          <w:kern w:val="2"/>
          <w:sz w:val="24"/>
          <w:szCs w:val="24"/>
          <w:highlight w:val="none"/>
          <w:lang w:val="en-US" w:eastAsia="zh-CN" w:bidi="ar-SA"/>
        </w:rPr>
        <w:t>质保期内，货物出现质量问题，</w:t>
      </w:r>
      <w:r>
        <w:rPr>
          <w:rFonts w:hint="eastAsia" w:ascii="宋体" w:hAnsi="宋体"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接到质量问题通知后1个小时内响应，24个小时内提供处理方案，</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个工作日内解决问题。</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乙方提供给甲方的托盘能够达到甲方使用的技术要求与行业的使用标准；</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eastAsia="zh-CN"/>
        </w:rPr>
      </w:pPr>
      <w:r>
        <w:rPr>
          <w:rFonts w:ascii="Times New Roman" w:hAnsi="Times New Roman" w:eastAsia="宋体"/>
          <w:color w:val="auto"/>
          <w:sz w:val="24"/>
          <w:szCs w:val="24"/>
        </w:rPr>
        <w:t>乙方负责向甲方提供现场安全操作及必要的维护保养培训。</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乙方设有长期稳定可靠的售后服务机构，并提供常设服务专线和长期的免费技术支持：</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乙方售后服务机构名称及地址：                                                                                        </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联系人1：          ，联系电话：            ，手机：          ；</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联系人2：          ，联系电话：            ，手机：          ；</w:t>
      </w:r>
    </w:p>
    <w:p>
      <w:pPr>
        <w:pStyle w:val="46"/>
        <w:numPr>
          <w:ilvl w:val="0"/>
          <w:numId w:val="70"/>
        </w:numPr>
        <w:snapToGrid w:val="0"/>
        <w:spacing w:line="360" w:lineRule="auto"/>
        <w:ind w:left="0" w:leftChars="0" w:firstLine="403"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其他售后服务补充内容：</w:t>
      </w:r>
    </w:p>
    <w:p>
      <w:pPr>
        <w:numPr>
          <w:ilvl w:val="0"/>
          <w:numId w:val="71"/>
        </w:numPr>
        <w:tabs>
          <w:tab w:val="left" w:pos="426"/>
          <w:tab w:val="clear" w:pos="420"/>
        </w:tabs>
        <w:spacing w:line="360" w:lineRule="auto"/>
        <w:ind w:left="845" w:leftChars="0" w:hanging="425" w:firstLineChars="0"/>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供货渠道：所有产品均由制造商或其授权的分销机构所提供，具有合法透明的供货渠道，乙方或制造商须提供其产品品质和一切售后服务保障。</w:t>
      </w:r>
    </w:p>
    <w:p>
      <w:pPr>
        <w:numPr>
          <w:ilvl w:val="0"/>
          <w:numId w:val="71"/>
        </w:numPr>
        <w:tabs>
          <w:tab w:val="left" w:pos="426"/>
          <w:tab w:val="clear" w:pos="420"/>
        </w:tabs>
        <w:spacing w:line="360" w:lineRule="auto"/>
        <w:ind w:left="845" w:leftChars="0" w:hanging="425" w:firstLineChars="0"/>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如果货物不能稳定地达到甲方要求，乙方应对此承担责任并承担全部相关费用以及甲方的直接损失，如乙方未能在合理的时间内将产更换以符合规格，甲方有权在合理时间内将产品退回乙方后要求返还已付的价款。</w:t>
      </w:r>
    </w:p>
    <w:p>
      <w:pPr>
        <w:pStyle w:val="46"/>
        <w:snapToGrid w:val="0"/>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xml:space="preserve">第五条  不可抗力 </w:t>
      </w:r>
    </w:p>
    <w:p>
      <w:pPr>
        <w:pStyle w:val="46"/>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（1）不可抗力指战争、严重火灾、洪水、台风、地震等或其他双方认定的不可抗力事件。 </w:t>
      </w:r>
    </w:p>
    <w:p>
      <w:pPr>
        <w:pStyle w:val="46"/>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（2）签约双方中任何一方由于不可抗力影响合同执行时，发生不可抗力一方应尽快将事故通知另一方，双方应通过友好协商尽快解决本合同的执行问题。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b/>
          <w:bCs/>
          <w:sz w:val="24"/>
          <w:szCs w:val="24"/>
          <w:lang w:eastAsia="zh-CN"/>
        </w:rPr>
        <w:t xml:space="preserve">第六条  违约责任与赔偿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乙方有下列情形之一的，甲方将有权终止合同且要求乙方支付本合同金额</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的违约金： </w:t>
      </w:r>
    </w:p>
    <w:p>
      <w:pPr>
        <w:keepNext w:val="0"/>
        <w:keepLines w:val="0"/>
        <w:pageBreakBefore w:val="0"/>
        <w:widowControl/>
        <w:numPr>
          <w:ilvl w:val="0"/>
          <w:numId w:val="72"/>
        </w:numPr>
        <w:suppressLineNumbers w:val="0"/>
        <w:kinsoku/>
        <w:wordWrap/>
        <w:overflowPunct/>
        <w:topLinePunct w:val="0"/>
        <w:autoSpaceDE/>
        <w:autoSpaceDN/>
        <w:bidi w:val="0"/>
        <w:adjustRightInd/>
        <w:snapToGrid/>
        <w:spacing w:line="360" w:lineRule="auto"/>
        <w:ind w:left="0" w:leftChars="0" w:firstLine="403" w:firstLineChars="0"/>
        <w:jc w:val="left"/>
        <w:textAlignment w:val="auto"/>
        <w:rPr>
          <w:rFonts w:hint="eastAsia" w:ascii="宋体" w:hAnsi="宋体" w:eastAsia="宋体" w:cs="宋体"/>
          <w:b w:val="0"/>
          <w:bCs w:val="0"/>
          <w:sz w:val="24"/>
          <w:szCs w:val="24"/>
        </w:rPr>
      </w:pPr>
      <w:r>
        <w:rPr>
          <w:rFonts w:hint="eastAsia" w:ascii="宋体" w:hAnsi="宋体" w:cs="宋体"/>
          <w:b w:val="0"/>
          <w:bCs w:val="0"/>
          <w:color w:val="000000"/>
          <w:kern w:val="0"/>
          <w:sz w:val="24"/>
          <w:szCs w:val="24"/>
          <w:lang w:val="en-US" w:eastAsia="zh-CN" w:bidi="ar"/>
        </w:rPr>
        <w:t>提供的货物</w:t>
      </w:r>
      <w:r>
        <w:rPr>
          <w:rFonts w:hint="eastAsia" w:ascii="宋体" w:hAnsi="宋体" w:eastAsia="宋体" w:cs="宋体"/>
          <w:b w:val="0"/>
          <w:bCs w:val="0"/>
          <w:color w:val="000000"/>
          <w:kern w:val="0"/>
          <w:sz w:val="24"/>
          <w:szCs w:val="24"/>
          <w:lang w:val="en-US" w:eastAsia="zh-CN" w:bidi="ar"/>
        </w:rPr>
        <w:t xml:space="preserve">不符合本项目规定或严重偏离甲方下达的任务要求的。 </w:t>
      </w:r>
    </w:p>
    <w:p>
      <w:pPr>
        <w:keepNext w:val="0"/>
        <w:keepLines w:val="0"/>
        <w:pageBreakBefore w:val="0"/>
        <w:widowControl/>
        <w:numPr>
          <w:ilvl w:val="0"/>
          <w:numId w:val="72"/>
        </w:numPr>
        <w:suppressLineNumbers w:val="0"/>
        <w:kinsoku/>
        <w:wordWrap/>
        <w:overflowPunct/>
        <w:topLinePunct w:val="0"/>
        <w:autoSpaceDE/>
        <w:autoSpaceDN/>
        <w:bidi w:val="0"/>
        <w:adjustRightInd/>
        <w:snapToGrid/>
        <w:spacing w:line="360" w:lineRule="auto"/>
        <w:ind w:left="0" w:leftChars="0" w:firstLine="403"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乙方未经采购人同意，泄露本项目相关资料数据的。 </w:t>
      </w:r>
    </w:p>
    <w:p>
      <w:pPr>
        <w:pStyle w:val="46"/>
        <w:numPr>
          <w:ilvl w:val="0"/>
          <w:numId w:val="72"/>
        </w:numPr>
        <w:snapToGrid w:val="0"/>
        <w:spacing w:line="360" w:lineRule="auto"/>
        <w:ind w:left="0" w:leftChars="0" w:firstLine="403" w:firstLineChars="0"/>
        <w:jc w:val="left"/>
        <w:rPr>
          <w:rFonts w:hint="eastAsia" w:ascii="宋体" w:hAnsi="宋体" w:eastAsia="宋体" w:cs="宋体"/>
          <w:b w:val="0"/>
          <w:bCs w:val="0"/>
          <w:sz w:val="24"/>
          <w:szCs w:val="24"/>
          <w:lang w:eastAsia="zh-CN"/>
        </w:rPr>
      </w:pPr>
      <w:r>
        <w:rPr>
          <w:rFonts w:hint="eastAsia" w:ascii="宋体" w:hAnsi="宋体" w:eastAsia="宋体" w:cs="宋体"/>
          <w:b w:val="0"/>
          <w:bCs w:val="0"/>
          <w:color w:val="000000"/>
          <w:kern w:val="0"/>
          <w:sz w:val="24"/>
          <w:szCs w:val="24"/>
          <w:lang w:val="en-US" w:eastAsia="zh-CN" w:bidi="ar"/>
        </w:rPr>
        <w:t>乙方未经采购人同意，将项目分包或转包的。</w:t>
      </w:r>
    </w:p>
    <w:p>
      <w:pPr>
        <w:pStyle w:val="46"/>
        <w:snapToGrid w:val="0"/>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第</w:t>
      </w:r>
      <w:r>
        <w:rPr>
          <w:rFonts w:hint="eastAsia" w:ascii="宋体" w:hAnsi="宋体" w:cs="宋体"/>
          <w:b/>
          <w:bCs/>
          <w:sz w:val="24"/>
          <w:szCs w:val="24"/>
          <w:lang w:val="en-US" w:eastAsia="zh-CN"/>
        </w:rPr>
        <w:t>七</w:t>
      </w:r>
      <w:r>
        <w:rPr>
          <w:rFonts w:hint="eastAsia" w:ascii="宋体" w:hAnsi="宋体" w:eastAsia="宋体" w:cs="宋体"/>
          <w:b/>
          <w:bCs/>
          <w:sz w:val="24"/>
          <w:szCs w:val="24"/>
          <w:lang w:eastAsia="zh-CN"/>
        </w:rPr>
        <w:t xml:space="preserve">条  索赔 </w:t>
      </w:r>
    </w:p>
    <w:p>
      <w:pPr>
        <w:keepNext w:val="0"/>
        <w:keepLines w:val="0"/>
        <w:pageBreakBefore w:val="0"/>
        <w:widowControl/>
        <w:numPr>
          <w:ilvl w:val="0"/>
          <w:numId w:val="73"/>
        </w:numPr>
        <w:suppressLineNumbers w:val="0"/>
        <w:kinsoku/>
        <w:wordWrap/>
        <w:overflowPunct/>
        <w:topLinePunct w:val="0"/>
        <w:autoSpaceDE/>
        <w:autoSpaceDN/>
        <w:bidi w:val="0"/>
        <w:adjustRightInd/>
        <w:snapToGrid/>
        <w:spacing w:line="360" w:lineRule="auto"/>
        <w:ind w:left="0" w:leftChars="0" w:firstLine="403" w:firstLineChars="0"/>
        <w:jc w:val="left"/>
        <w:textAlignment w:val="auto"/>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如对货物质量有异议，甲方有权根据有关政府部门的检验结果向乙方提出索赔。</w:t>
      </w:r>
    </w:p>
    <w:p>
      <w:pPr>
        <w:keepNext w:val="0"/>
        <w:keepLines w:val="0"/>
        <w:pageBreakBefore w:val="0"/>
        <w:widowControl/>
        <w:numPr>
          <w:ilvl w:val="0"/>
          <w:numId w:val="73"/>
        </w:numPr>
        <w:suppressLineNumbers w:val="0"/>
        <w:kinsoku/>
        <w:wordWrap/>
        <w:overflowPunct/>
        <w:topLinePunct w:val="0"/>
        <w:autoSpaceDE/>
        <w:autoSpaceDN/>
        <w:bidi w:val="0"/>
        <w:adjustRightInd/>
        <w:snapToGrid/>
        <w:spacing w:line="360" w:lineRule="auto"/>
        <w:ind w:left="0" w:leftChars="0" w:firstLine="403" w:firstLineChars="0"/>
        <w:jc w:val="left"/>
        <w:textAlignment w:val="auto"/>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在合同执行期间，如果乙方对甲方提出的索赔和差异负有责任，乙方应按照甲方选择的下列一种或多种方式解决索赔事宜：退货，乙方将货款退还给甲方，并承担由此发生的一切损失和费用；</w:t>
      </w:r>
    </w:p>
    <w:p>
      <w:pPr>
        <w:keepNext w:val="0"/>
        <w:keepLines w:val="0"/>
        <w:pageBreakBefore w:val="0"/>
        <w:widowControl/>
        <w:numPr>
          <w:ilvl w:val="0"/>
          <w:numId w:val="73"/>
        </w:numPr>
        <w:suppressLineNumbers w:val="0"/>
        <w:kinsoku/>
        <w:wordWrap/>
        <w:overflowPunct/>
        <w:topLinePunct w:val="0"/>
        <w:autoSpaceDE/>
        <w:autoSpaceDN/>
        <w:bidi w:val="0"/>
        <w:adjustRightInd/>
        <w:snapToGrid/>
        <w:spacing w:line="360" w:lineRule="auto"/>
        <w:ind w:left="0" w:leftChars="0" w:firstLine="403" w:firstLineChars="0"/>
        <w:jc w:val="left"/>
        <w:textAlignment w:val="auto"/>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因甲方原因导致延期交货，乙方无权要求甲方违约赔偿，但交货期限相应顺延。</w:t>
      </w:r>
    </w:p>
    <w:p>
      <w:pPr>
        <w:pStyle w:val="46"/>
        <w:snapToGrid w:val="0"/>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第</w:t>
      </w:r>
      <w:r>
        <w:rPr>
          <w:rFonts w:hint="eastAsia" w:ascii="宋体" w:hAnsi="宋体" w:cs="宋体"/>
          <w:b/>
          <w:bCs/>
          <w:sz w:val="24"/>
          <w:szCs w:val="24"/>
          <w:lang w:val="en-US" w:eastAsia="zh-CN"/>
        </w:rPr>
        <w:t>八</w:t>
      </w:r>
      <w:r>
        <w:rPr>
          <w:rFonts w:hint="eastAsia" w:ascii="宋体" w:hAnsi="宋体" w:eastAsia="宋体" w:cs="宋体"/>
          <w:b/>
          <w:bCs/>
          <w:sz w:val="24"/>
          <w:szCs w:val="24"/>
          <w:lang w:eastAsia="zh-CN"/>
        </w:rPr>
        <w:t xml:space="preserve">条  合同终止 </w:t>
      </w:r>
    </w:p>
    <w:p>
      <w:pPr>
        <w:pStyle w:val="46"/>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如一方违反本合同并在收到违约通知书后 10 天内仍未能改正或者未能按照合同约定履行支付违约金的义务，另一方可立即解除本合同，违约方应赔偿守约方因此所遭受的一切损失，包括但不限于守约方为实现本合同权益所支付的律师费用。 </w:t>
      </w:r>
    </w:p>
    <w:p>
      <w:pPr>
        <w:pStyle w:val="46"/>
        <w:snapToGrid w:val="0"/>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xml:space="preserve">第九条  法律诉讼 </w:t>
      </w:r>
    </w:p>
    <w:p>
      <w:pPr>
        <w:pStyle w:val="46"/>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发生争执和分歧，双方应通过友好协商解决。无法协商解决，应向甲方所在地人民法院提起诉讼。诉讼期间，双方应继续执行合同无争议部分。 </w:t>
      </w:r>
    </w:p>
    <w:p>
      <w:pPr>
        <w:pStyle w:val="46"/>
        <w:numPr>
          <w:ilvl w:val="0"/>
          <w:numId w:val="0"/>
        </w:numPr>
        <w:snapToGrid w:val="0"/>
        <w:spacing w:line="360" w:lineRule="auto"/>
        <w:ind w:leftChars="0"/>
        <w:jc w:val="left"/>
        <w:rPr>
          <w:rFonts w:hint="eastAsia" w:ascii="宋体" w:hAnsi="宋体" w:eastAsia="宋体" w:cs="宋体"/>
          <w:b/>
          <w:bCs/>
          <w:color w:val="auto"/>
          <w:sz w:val="24"/>
          <w:szCs w:val="24"/>
        </w:rPr>
      </w:pPr>
      <w:r>
        <w:rPr>
          <w:rFonts w:hint="eastAsia" w:ascii="宋体" w:hAnsi="宋体" w:eastAsia="宋体" w:cs="宋体"/>
          <w:b/>
          <w:bCs/>
          <w:sz w:val="24"/>
          <w:szCs w:val="24"/>
          <w:lang w:eastAsia="zh-CN"/>
        </w:rPr>
        <w:t>第十条</w:t>
      </w:r>
      <w:r>
        <w:rPr>
          <w:rFonts w:hint="eastAsia" w:ascii="宋体" w:hAnsi="宋体" w:eastAsia="宋体" w:cs="宋体"/>
          <w:b/>
          <w:bCs/>
          <w:sz w:val="24"/>
          <w:szCs w:val="24"/>
          <w:lang w:val="en-US" w:eastAsia="zh-CN"/>
        </w:rPr>
        <w:t xml:space="preserve"> </w:t>
      </w:r>
      <w:r>
        <w:rPr>
          <w:rFonts w:hint="eastAsia" w:ascii="宋体" w:hAnsi="宋体" w:cs="宋体"/>
          <w:b/>
          <w:bCs/>
          <w:sz w:val="24"/>
          <w:szCs w:val="24"/>
          <w:lang w:val="en-US" w:eastAsia="zh-CN"/>
        </w:rPr>
        <w:t xml:space="preserve"> </w:t>
      </w:r>
      <w:r>
        <w:rPr>
          <w:rFonts w:hint="eastAsia" w:ascii="宋体" w:hAnsi="宋体" w:eastAsia="宋体" w:cs="宋体"/>
          <w:b/>
          <w:bCs/>
          <w:color w:val="auto"/>
          <w:sz w:val="24"/>
          <w:szCs w:val="24"/>
        </w:rPr>
        <w:t>合同生效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403" w:leftChars="0"/>
        <w:jc w:val="left"/>
        <w:textAlignment w:val="auto"/>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本合同由双方法定代表人或委托代理人签字盖章后立即生效，具有同等法律效力。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本合同一式  份，其中甲方</w:t>
      </w:r>
      <w:r>
        <w:rPr>
          <w:rFonts w:hint="eastAsia" w:ascii="宋体" w:hAnsi="宋体" w:cs="宋体"/>
          <w:b w:val="0"/>
          <w:bCs w:val="0"/>
          <w:color w:val="000000"/>
          <w:kern w:val="0"/>
          <w:sz w:val="24"/>
          <w:szCs w:val="24"/>
          <w:u w:val="single"/>
          <w:lang w:val="en-US" w:eastAsia="zh-CN" w:bidi="ar"/>
        </w:rPr>
        <w:t xml:space="preserve">   </w:t>
      </w:r>
      <w:r>
        <w:rPr>
          <w:rFonts w:hint="eastAsia" w:ascii="宋体" w:hAnsi="宋体" w:cs="宋体"/>
          <w:b w:val="0"/>
          <w:bCs w:val="0"/>
          <w:color w:val="000000"/>
          <w:kern w:val="0"/>
          <w:sz w:val="24"/>
          <w:szCs w:val="24"/>
          <w:lang w:val="en-US" w:eastAsia="zh-CN" w:bidi="ar"/>
        </w:rPr>
        <w:t>份、乙方</w:t>
      </w:r>
      <w:r>
        <w:rPr>
          <w:rFonts w:hint="eastAsia" w:ascii="宋体" w:hAnsi="宋体" w:cs="宋体"/>
          <w:b w:val="0"/>
          <w:bCs w:val="0"/>
          <w:color w:val="000000"/>
          <w:kern w:val="0"/>
          <w:sz w:val="24"/>
          <w:szCs w:val="24"/>
          <w:u w:val="single"/>
          <w:lang w:val="en-US" w:eastAsia="zh-CN" w:bidi="ar"/>
        </w:rPr>
        <w:t xml:space="preserve">   </w:t>
      </w:r>
      <w:r>
        <w:rPr>
          <w:rFonts w:hint="eastAsia" w:ascii="宋体" w:hAnsi="宋体" w:cs="宋体"/>
          <w:b w:val="0"/>
          <w:bCs w:val="0"/>
          <w:color w:val="000000"/>
          <w:kern w:val="0"/>
          <w:sz w:val="24"/>
          <w:szCs w:val="24"/>
          <w:lang w:val="en-US" w:eastAsia="zh-CN" w:bidi="ar"/>
        </w:rPr>
        <w:t>份，采购代理机构壹份。</w:t>
      </w:r>
    </w:p>
    <w:p>
      <w:pPr>
        <w:pStyle w:val="46"/>
        <w:snapToGrid w:val="0"/>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xml:space="preserve">第十一条  其它 </w:t>
      </w:r>
    </w:p>
    <w:p>
      <w:pPr>
        <w:keepNext w:val="0"/>
        <w:keepLines w:val="0"/>
        <w:pageBreakBefore w:val="0"/>
        <w:widowControl/>
        <w:numPr>
          <w:ilvl w:val="0"/>
          <w:numId w:val="74"/>
        </w:numPr>
        <w:suppressLineNumbers w:val="0"/>
        <w:kinsoku/>
        <w:wordWrap/>
        <w:overflowPunct/>
        <w:topLinePunct w:val="0"/>
        <w:autoSpaceDE/>
        <w:autoSpaceDN/>
        <w:bidi w:val="0"/>
        <w:adjustRightInd/>
        <w:snapToGrid/>
        <w:spacing w:line="360" w:lineRule="auto"/>
        <w:ind w:left="0" w:leftChars="0" w:firstLine="403" w:firstLineChars="0"/>
        <w:jc w:val="left"/>
        <w:textAlignment w:val="auto"/>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本合同未尽事宜，双方可签订补充合同，补充合同与所有附件均为合同的有效组成部分，与本合同具有同等法律效力，但补充合同内容不能违反采购文件及响应文件的相关资料的约定。</w:t>
      </w:r>
    </w:p>
    <w:p>
      <w:pPr>
        <w:keepNext w:val="0"/>
        <w:keepLines w:val="0"/>
        <w:pageBreakBefore w:val="0"/>
        <w:widowControl/>
        <w:numPr>
          <w:ilvl w:val="0"/>
          <w:numId w:val="74"/>
        </w:numPr>
        <w:suppressLineNumbers w:val="0"/>
        <w:kinsoku/>
        <w:wordWrap/>
        <w:overflowPunct/>
        <w:topLinePunct w:val="0"/>
        <w:autoSpaceDE/>
        <w:autoSpaceDN/>
        <w:bidi w:val="0"/>
        <w:adjustRightInd/>
        <w:snapToGrid/>
        <w:spacing w:line="360" w:lineRule="auto"/>
        <w:ind w:left="0" w:leftChars="0" w:firstLine="403" w:firstLineChars="0"/>
        <w:jc w:val="left"/>
        <w:textAlignment w:val="auto"/>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在执行本合同的过程中，所有经甲乙双方签署确认的文件（包括会议纪要、补充协议、往来信函、合同附件等）即成为本合同的有效组成部分，其生效日期为双方签字盖章或确认之日期。</w:t>
      </w:r>
    </w:p>
    <w:p>
      <w:pPr>
        <w:keepNext w:val="0"/>
        <w:keepLines w:val="0"/>
        <w:pageBreakBefore w:val="0"/>
        <w:widowControl/>
        <w:numPr>
          <w:ilvl w:val="0"/>
          <w:numId w:val="74"/>
        </w:numPr>
        <w:suppressLineNumbers w:val="0"/>
        <w:kinsoku/>
        <w:wordWrap/>
        <w:overflowPunct/>
        <w:topLinePunct w:val="0"/>
        <w:autoSpaceDE/>
        <w:autoSpaceDN/>
        <w:bidi w:val="0"/>
        <w:adjustRightInd/>
        <w:snapToGrid/>
        <w:spacing w:line="360" w:lineRule="auto"/>
        <w:ind w:left="0" w:leftChars="0" w:firstLine="403" w:firstLineChars="0"/>
        <w:jc w:val="left"/>
        <w:textAlignment w:val="auto"/>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本合同合计</w:t>
      </w:r>
      <w:r>
        <w:rPr>
          <w:rFonts w:hint="eastAsia" w:ascii="宋体" w:hAnsi="宋体" w:cs="宋体"/>
          <w:b w:val="0"/>
          <w:bCs w:val="0"/>
          <w:color w:val="000000"/>
          <w:kern w:val="0"/>
          <w:sz w:val="24"/>
          <w:szCs w:val="24"/>
          <w:u w:val="single"/>
          <w:lang w:val="en-US" w:eastAsia="zh-CN" w:bidi="ar"/>
        </w:rPr>
        <w:t xml:space="preserve">   </w:t>
      </w:r>
      <w:r>
        <w:rPr>
          <w:rFonts w:hint="eastAsia" w:ascii="宋体" w:hAnsi="宋体" w:cs="宋体"/>
          <w:b w:val="0"/>
          <w:bCs w:val="0"/>
          <w:color w:val="000000"/>
          <w:kern w:val="0"/>
          <w:sz w:val="24"/>
          <w:szCs w:val="24"/>
          <w:lang w:val="en-US" w:eastAsia="zh-CN" w:bidi="ar"/>
        </w:rPr>
        <w:t>页A4纸张，缺页之合同为无效合同。</w:t>
      </w:r>
    </w:p>
    <w:p>
      <w:pPr>
        <w:autoSpaceDE w:val="0"/>
        <w:autoSpaceDN w:val="0"/>
        <w:adjustRightInd w:val="0"/>
        <w:spacing w:line="360" w:lineRule="auto"/>
        <w:jc w:val="left"/>
        <w:rPr>
          <w:rFonts w:hint="eastAsia" w:ascii="宋体" w:hAnsi="宋体" w:eastAsia="宋体" w:cs="宋体"/>
          <w:sz w:val="24"/>
          <w:lang w:val="zh-CN"/>
        </w:rPr>
      </w:pPr>
    </w:p>
    <w:tbl>
      <w:tblPr>
        <w:tblStyle w:val="54"/>
        <w:tblW w:w="9332" w:type="dxa"/>
        <w:jc w:val="center"/>
        <w:tblLayout w:type="fixed"/>
        <w:tblCellMar>
          <w:top w:w="0" w:type="dxa"/>
          <w:left w:w="108" w:type="dxa"/>
          <w:bottom w:w="0" w:type="dxa"/>
          <w:right w:w="108" w:type="dxa"/>
        </w:tblCellMar>
      </w:tblPr>
      <w:tblGrid>
        <w:gridCol w:w="4668"/>
        <w:gridCol w:w="4664"/>
      </w:tblGrid>
      <w:tr>
        <w:tblPrEx>
          <w:tblCellMar>
            <w:top w:w="0" w:type="dxa"/>
            <w:left w:w="108" w:type="dxa"/>
            <w:bottom w:w="0" w:type="dxa"/>
            <w:right w:w="108" w:type="dxa"/>
          </w:tblCellMar>
        </w:tblPrEx>
        <w:trPr>
          <w:trHeight w:val="1182" w:hRule="atLeast"/>
          <w:jc w:val="center"/>
        </w:trPr>
        <w:tc>
          <w:tcPr>
            <w:tcW w:w="4668" w:type="dxa"/>
            <w:noWrap w:val="0"/>
            <w:vAlign w:val="top"/>
          </w:tcPr>
          <w:p>
            <w:pPr>
              <w:pStyle w:val="28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360" w:lineRule="auto"/>
              <w:ind w:firstLine="0"/>
              <w:rPr>
                <w:rFonts w:hint="default"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eastAsia="zh-CN"/>
              </w:rPr>
              <w:t>甲方</w:t>
            </w:r>
            <w:r>
              <w:rPr>
                <w:rFonts w:hint="eastAsia" w:ascii="宋体" w:hAnsi="宋体" w:cs="宋体"/>
                <w:bCs/>
                <w:color w:val="auto"/>
                <w:sz w:val="24"/>
                <w:szCs w:val="24"/>
                <w:highlight w:val="none"/>
                <w:lang w:eastAsia="zh-CN"/>
              </w:rPr>
              <w:t>（采购人）</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 xml:space="preserve">          </w:t>
            </w:r>
          </w:p>
          <w:p>
            <w:pPr>
              <w:pStyle w:val="28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360" w:lineRule="auto"/>
              <w:ind w:firstLine="0" w:firstLineChars="0"/>
              <w:rPr>
                <w:rFonts w:hint="eastAsia" w:ascii="宋体" w:hAnsi="宋体" w:eastAsia="宋体" w:cs="宋体"/>
                <w:bCs/>
                <w:color w:val="auto"/>
                <w:sz w:val="24"/>
                <w:szCs w:val="24"/>
                <w:highlight w:val="none"/>
              </w:rPr>
            </w:pPr>
          </w:p>
        </w:tc>
        <w:tc>
          <w:tcPr>
            <w:tcW w:w="4664" w:type="dxa"/>
            <w:noWrap w:val="0"/>
            <w:vAlign w:val="top"/>
          </w:tcPr>
          <w:p>
            <w:pPr>
              <w:pStyle w:val="282"/>
              <w:spacing w:line="360" w:lineRule="auto"/>
              <w:ind w:firstLine="0"/>
              <w:rPr>
                <w:rFonts w:hint="default"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eastAsia="zh-CN"/>
              </w:rPr>
              <w:t>乙方</w:t>
            </w:r>
            <w:r>
              <w:rPr>
                <w:rFonts w:hint="eastAsia" w:ascii="宋体" w:hAnsi="宋体" w:cs="宋体"/>
                <w:bCs/>
                <w:color w:val="auto"/>
                <w:sz w:val="24"/>
                <w:szCs w:val="24"/>
                <w:highlight w:val="none"/>
                <w:lang w:eastAsia="zh-CN"/>
              </w:rPr>
              <w:t>（中标人）</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 xml:space="preserve">           </w:t>
            </w:r>
          </w:p>
          <w:p>
            <w:pPr>
              <w:pStyle w:val="282"/>
              <w:spacing w:line="360" w:lineRule="auto"/>
              <w:ind w:firstLine="0" w:firstLineChars="0"/>
              <w:rPr>
                <w:rFonts w:hint="eastAsia" w:ascii="宋体" w:hAnsi="宋体" w:eastAsia="宋体" w:cs="宋体"/>
                <w:bCs/>
                <w:color w:val="auto"/>
                <w:sz w:val="24"/>
                <w:szCs w:val="24"/>
                <w:highlight w:val="none"/>
              </w:rPr>
            </w:pPr>
          </w:p>
        </w:tc>
      </w:tr>
      <w:tr>
        <w:tblPrEx>
          <w:tblCellMar>
            <w:top w:w="0" w:type="dxa"/>
            <w:left w:w="108" w:type="dxa"/>
            <w:bottom w:w="0" w:type="dxa"/>
            <w:right w:w="108" w:type="dxa"/>
          </w:tblCellMar>
        </w:tblPrEx>
        <w:trPr>
          <w:trHeight w:val="941" w:hRule="atLeast"/>
          <w:jc w:val="center"/>
        </w:trPr>
        <w:tc>
          <w:tcPr>
            <w:tcW w:w="4668" w:type="dxa"/>
            <w:noWrap w:val="0"/>
            <w:vAlign w:val="center"/>
          </w:tcPr>
          <w:p>
            <w:pPr>
              <w:pStyle w:val="282"/>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p>
        </w:tc>
        <w:tc>
          <w:tcPr>
            <w:tcW w:w="4664" w:type="dxa"/>
            <w:noWrap w:val="0"/>
            <w:vAlign w:val="center"/>
          </w:tcPr>
          <w:p>
            <w:pPr>
              <w:pStyle w:val="282"/>
              <w:spacing w:line="360" w:lineRule="auto"/>
              <w:ind w:firstLine="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法定代表人（或授权代理人）：</w:t>
            </w:r>
          </w:p>
        </w:tc>
      </w:tr>
      <w:tr>
        <w:tblPrEx>
          <w:tblCellMar>
            <w:top w:w="0" w:type="dxa"/>
            <w:left w:w="108" w:type="dxa"/>
            <w:bottom w:w="0" w:type="dxa"/>
            <w:right w:w="108" w:type="dxa"/>
          </w:tblCellMar>
        </w:tblPrEx>
        <w:trPr>
          <w:trHeight w:val="587" w:hRule="atLeast"/>
          <w:jc w:val="center"/>
        </w:trPr>
        <w:tc>
          <w:tcPr>
            <w:tcW w:w="4668" w:type="dxa"/>
            <w:noWrap w:val="0"/>
            <w:vAlign w:val="top"/>
          </w:tcPr>
          <w:p>
            <w:pPr>
              <w:pStyle w:val="282"/>
              <w:spacing w:line="360" w:lineRule="auto"/>
              <w:ind w:firstLine="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地  址： </w:t>
            </w:r>
          </w:p>
        </w:tc>
        <w:tc>
          <w:tcPr>
            <w:tcW w:w="4664" w:type="dxa"/>
            <w:noWrap w:val="0"/>
            <w:vAlign w:val="top"/>
          </w:tcPr>
          <w:p>
            <w:pPr>
              <w:pStyle w:val="282"/>
              <w:spacing w:line="360" w:lineRule="auto"/>
              <w:rPr>
                <w:rFonts w:hint="eastAsia" w:ascii="宋体" w:hAnsi="宋体" w:eastAsia="宋体" w:cs="宋体"/>
                <w:bCs/>
                <w:color w:val="auto"/>
                <w:sz w:val="24"/>
                <w:szCs w:val="24"/>
                <w:highlight w:val="none"/>
              </w:rPr>
            </w:pPr>
            <w:r>
              <w:rPr>
                <w:rFonts w:hint="eastAsia" w:ascii="宋体" w:hAnsi="宋体" w:eastAsia="宋体" w:cs="宋体"/>
                <w:bCs/>
                <w:sz w:val="24"/>
                <w:szCs w:val="24"/>
                <w:highlight w:val="none"/>
              </w:rPr>
              <w:t>地  址：</w:t>
            </w:r>
          </w:p>
        </w:tc>
      </w:tr>
      <w:tr>
        <w:tblPrEx>
          <w:tblCellMar>
            <w:top w:w="0" w:type="dxa"/>
            <w:left w:w="108" w:type="dxa"/>
            <w:bottom w:w="0" w:type="dxa"/>
            <w:right w:w="108" w:type="dxa"/>
          </w:tblCellMar>
        </w:tblPrEx>
        <w:trPr>
          <w:trHeight w:val="607" w:hRule="atLeast"/>
          <w:jc w:val="center"/>
        </w:trPr>
        <w:tc>
          <w:tcPr>
            <w:tcW w:w="4668" w:type="dxa"/>
            <w:noWrap w:val="0"/>
            <w:vAlign w:val="center"/>
          </w:tcPr>
          <w:p>
            <w:pPr>
              <w:pStyle w:val="282"/>
              <w:spacing w:line="360" w:lineRule="auto"/>
              <w:ind w:firstLine="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p>
        </w:tc>
        <w:tc>
          <w:tcPr>
            <w:tcW w:w="4664" w:type="dxa"/>
            <w:noWrap w:val="0"/>
            <w:vAlign w:val="center"/>
          </w:tcPr>
          <w:p>
            <w:pPr>
              <w:pStyle w:val="282"/>
              <w:spacing w:line="360" w:lineRule="auto"/>
              <w:rPr>
                <w:rFonts w:hint="eastAsia" w:ascii="宋体" w:hAnsi="宋体" w:eastAsia="宋体" w:cs="宋体"/>
                <w:bCs/>
                <w:color w:val="auto"/>
                <w:sz w:val="24"/>
                <w:szCs w:val="24"/>
                <w:highlight w:val="none"/>
              </w:rPr>
            </w:pPr>
            <w:r>
              <w:rPr>
                <w:rFonts w:hint="eastAsia" w:ascii="宋体" w:hAnsi="宋体" w:eastAsia="宋体" w:cs="宋体"/>
                <w:bCs/>
                <w:sz w:val="24"/>
                <w:szCs w:val="24"/>
                <w:highlight w:val="none"/>
              </w:rPr>
              <w:t>联系人：</w:t>
            </w:r>
          </w:p>
        </w:tc>
      </w:tr>
      <w:tr>
        <w:tblPrEx>
          <w:tblCellMar>
            <w:top w:w="0" w:type="dxa"/>
            <w:left w:w="108" w:type="dxa"/>
            <w:bottom w:w="0" w:type="dxa"/>
            <w:right w:w="108" w:type="dxa"/>
          </w:tblCellMar>
        </w:tblPrEx>
        <w:trPr>
          <w:trHeight w:val="591" w:hRule="atLeast"/>
          <w:jc w:val="center"/>
        </w:trPr>
        <w:tc>
          <w:tcPr>
            <w:tcW w:w="4668" w:type="dxa"/>
            <w:noWrap w:val="0"/>
            <w:vAlign w:val="center"/>
          </w:tcPr>
          <w:p>
            <w:pPr>
              <w:autoSpaceDE w:val="0"/>
              <w:autoSpaceDN w:val="0"/>
              <w:adjustRightInd w:val="0"/>
              <w:spacing w:line="360" w:lineRule="auto"/>
              <w:ind w:firstLine="0"/>
              <w:jc w:val="left"/>
              <w:rPr>
                <w:rFonts w:hint="eastAsia" w:ascii="宋体" w:hAnsi="宋体" w:eastAsia="宋体" w:cs="宋体"/>
                <w:bCs/>
                <w:color w:val="auto"/>
                <w:sz w:val="24"/>
                <w:szCs w:val="24"/>
                <w:highlight w:val="none"/>
              </w:rPr>
            </w:pPr>
            <w:r>
              <w:rPr>
                <w:rFonts w:hint="eastAsia" w:ascii="宋体" w:hAnsi="宋体" w:eastAsia="宋体" w:cs="宋体"/>
                <w:sz w:val="24"/>
                <w:lang w:val="zh-CN"/>
              </w:rPr>
              <w:t>开户银行：</w:t>
            </w:r>
          </w:p>
        </w:tc>
        <w:tc>
          <w:tcPr>
            <w:tcW w:w="4664" w:type="dxa"/>
            <w:noWrap w:val="0"/>
            <w:vAlign w:val="center"/>
          </w:tcPr>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sz w:val="24"/>
                <w:lang w:val="zh-CN"/>
              </w:rPr>
              <w:t>开户银行：</w:t>
            </w:r>
          </w:p>
        </w:tc>
      </w:tr>
      <w:tr>
        <w:tblPrEx>
          <w:tblCellMar>
            <w:top w:w="0" w:type="dxa"/>
            <w:left w:w="108" w:type="dxa"/>
            <w:bottom w:w="0" w:type="dxa"/>
            <w:right w:w="108" w:type="dxa"/>
          </w:tblCellMar>
        </w:tblPrEx>
        <w:trPr>
          <w:trHeight w:val="591" w:hRule="atLeast"/>
          <w:jc w:val="center"/>
        </w:trPr>
        <w:tc>
          <w:tcPr>
            <w:tcW w:w="4668" w:type="dxa"/>
            <w:noWrap w:val="0"/>
            <w:vAlign w:val="center"/>
          </w:tcPr>
          <w:p>
            <w:pPr>
              <w:spacing w:line="360" w:lineRule="auto"/>
              <w:ind w:firstLine="0"/>
              <w:rPr>
                <w:rFonts w:hint="eastAsia" w:ascii="宋体" w:hAnsi="宋体" w:eastAsia="宋体" w:cs="宋体"/>
                <w:bCs/>
                <w:color w:val="auto"/>
                <w:sz w:val="24"/>
                <w:szCs w:val="24"/>
                <w:highlight w:val="none"/>
              </w:rPr>
            </w:pPr>
            <w:r>
              <w:rPr>
                <w:rFonts w:hint="eastAsia" w:ascii="宋体" w:hAnsi="宋体" w:eastAsia="宋体" w:cs="宋体"/>
                <w:sz w:val="24"/>
                <w:lang w:val="zh-CN"/>
              </w:rPr>
              <w:t>开户账户：</w:t>
            </w:r>
          </w:p>
        </w:tc>
        <w:tc>
          <w:tcPr>
            <w:tcW w:w="4664" w:type="dxa"/>
            <w:noWrap w:val="0"/>
            <w:vAlign w:val="center"/>
          </w:tcPr>
          <w:p>
            <w:pPr>
              <w:spacing w:line="360" w:lineRule="auto"/>
              <w:rPr>
                <w:rFonts w:hint="eastAsia" w:ascii="宋体" w:hAnsi="宋体" w:eastAsia="宋体" w:cs="宋体"/>
                <w:bCs/>
                <w:sz w:val="24"/>
                <w:szCs w:val="24"/>
                <w:highlight w:val="none"/>
              </w:rPr>
            </w:pPr>
            <w:r>
              <w:rPr>
                <w:rFonts w:hint="eastAsia" w:ascii="宋体" w:hAnsi="宋体" w:eastAsia="宋体" w:cs="宋体"/>
                <w:sz w:val="24"/>
                <w:lang w:val="zh-CN"/>
              </w:rPr>
              <w:t>开户账户：</w:t>
            </w:r>
          </w:p>
        </w:tc>
      </w:tr>
      <w:tr>
        <w:tblPrEx>
          <w:tblCellMar>
            <w:top w:w="0" w:type="dxa"/>
            <w:left w:w="108" w:type="dxa"/>
            <w:bottom w:w="0" w:type="dxa"/>
            <w:right w:w="108" w:type="dxa"/>
          </w:tblCellMar>
        </w:tblPrEx>
        <w:trPr>
          <w:trHeight w:val="591" w:hRule="atLeast"/>
          <w:jc w:val="center"/>
        </w:trPr>
        <w:tc>
          <w:tcPr>
            <w:tcW w:w="4668" w:type="dxa"/>
            <w:noWrap w:val="0"/>
            <w:vAlign w:val="center"/>
          </w:tcPr>
          <w:p>
            <w:pPr>
              <w:pStyle w:val="282"/>
              <w:spacing w:line="360" w:lineRule="auto"/>
              <w:ind w:firstLine="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电  话：</w:t>
            </w:r>
          </w:p>
        </w:tc>
        <w:tc>
          <w:tcPr>
            <w:tcW w:w="4664" w:type="dxa"/>
            <w:noWrap w:val="0"/>
            <w:vAlign w:val="center"/>
          </w:tcPr>
          <w:p>
            <w:pPr>
              <w:pStyle w:val="282"/>
              <w:spacing w:line="360" w:lineRule="auto"/>
              <w:rPr>
                <w:rFonts w:hint="eastAsia" w:ascii="宋体" w:hAnsi="宋体" w:eastAsia="宋体" w:cs="宋体"/>
                <w:bCs/>
                <w:color w:val="auto"/>
                <w:sz w:val="24"/>
                <w:szCs w:val="24"/>
                <w:highlight w:val="none"/>
              </w:rPr>
            </w:pPr>
            <w:r>
              <w:rPr>
                <w:rFonts w:hint="eastAsia" w:ascii="宋体" w:hAnsi="宋体" w:eastAsia="宋体" w:cs="宋体"/>
                <w:bCs/>
                <w:sz w:val="24"/>
                <w:szCs w:val="24"/>
                <w:highlight w:val="none"/>
              </w:rPr>
              <w:t>电  话：</w:t>
            </w:r>
          </w:p>
        </w:tc>
      </w:tr>
      <w:tr>
        <w:tblPrEx>
          <w:tblCellMar>
            <w:top w:w="0" w:type="dxa"/>
            <w:left w:w="108" w:type="dxa"/>
            <w:bottom w:w="0" w:type="dxa"/>
            <w:right w:w="108" w:type="dxa"/>
          </w:tblCellMar>
        </w:tblPrEx>
        <w:trPr>
          <w:trHeight w:val="591" w:hRule="atLeast"/>
          <w:jc w:val="center"/>
        </w:trPr>
        <w:tc>
          <w:tcPr>
            <w:tcW w:w="4668" w:type="dxa"/>
            <w:noWrap w:val="0"/>
            <w:vAlign w:val="center"/>
          </w:tcPr>
          <w:p>
            <w:pPr>
              <w:pStyle w:val="282"/>
              <w:spacing w:line="360" w:lineRule="auto"/>
              <w:ind w:firstLine="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签订日期：</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年  月   日</w:t>
            </w:r>
          </w:p>
        </w:tc>
        <w:tc>
          <w:tcPr>
            <w:tcW w:w="4664" w:type="dxa"/>
            <w:noWrap w:val="0"/>
            <w:vAlign w:val="center"/>
          </w:tcPr>
          <w:p>
            <w:pPr>
              <w:pStyle w:val="282"/>
              <w:spacing w:line="360" w:lineRule="auto"/>
              <w:ind w:firstLine="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签订日期：</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年  月   日</w:t>
            </w:r>
          </w:p>
        </w:tc>
      </w:tr>
    </w:tbl>
    <w:p/>
    <w:p>
      <w:pP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br w:type="page"/>
      </w:r>
    </w:p>
    <w:p>
      <w:pPr>
        <w:shd w:val="clear" w:color="auto" w:fill="auto"/>
        <w:spacing w:after="156" w:afterLines="50" w:line="360" w:lineRule="auto"/>
        <w:jc w:val="center"/>
        <w:outlineLvl w:val="0"/>
        <w:rPr>
          <w:rFonts w:hint="eastAsia" w:ascii="宋体" w:hAnsi="宋体" w:eastAsia="宋体" w:cs="宋体"/>
          <w:b/>
          <w:color w:val="auto"/>
          <w:kern w:val="0"/>
          <w:sz w:val="36"/>
          <w:szCs w:val="36"/>
          <w:highlight w:val="none"/>
          <w:lang w:val="zh-CN"/>
        </w:rPr>
      </w:pPr>
      <w:bookmarkStart w:id="124" w:name="_Toc18762"/>
      <w:bookmarkStart w:id="125" w:name="_Toc10950"/>
      <w:r>
        <w:rPr>
          <w:rFonts w:hint="eastAsia" w:ascii="宋体" w:hAnsi="宋体" w:eastAsia="宋体" w:cs="宋体"/>
          <w:b/>
          <w:color w:val="auto"/>
          <w:kern w:val="0"/>
          <w:sz w:val="36"/>
          <w:szCs w:val="36"/>
          <w:highlight w:val="none"/>
        </w:rPr>
        <w:t>第六部分  投标文件格式</w:t>
      </w:r>
      <w:bookmarkEnd w:id="123"/>
      <w:bookmarkEnd w:id="124"/>
      <w:bookmarkEnd w:id="125"/>
    </w:p>
    <w:p>
      <w:pPr>
        <w:shd w:val="clear" w:color="auto" w:fill="auto"/>
        <w:spacing w:line="360" w:lineRule="auto"/>
        <w:ind w:firstLine="313" w:firstLineChars="112"/>
        <w:jc w:val="center"/>
        <w:rPr>
          <w:rFonts w:hint="eastAsia" w:ascii="宋体" w:hAnsi="宋体" w:eastAsia="宋体" w:cs="宋体"/>
          <w:b/>
          <w:color w:val="auto"/>
          <w:kern w:val="0"/>
          <w:sz w:val="32"/>
          <w:szCs w:val="32"/>
          <w:highlight w:val="none"/>
        </w:rPr>
      </w:pPr>
      <w:bookmarkStart w:id="126" w:name="_Toc137372383"/>
      <w:bookmarkStart w:id="127" w:name="_Toc49329264"/>
      <w:bookmarkStart w:id="128" w:name="_Toc136682913"/>
      <w:bookmarkStart w:id="129" w:name="_Toc29817725"/>
      <w:bookmarkStart w:id="130" w:name="_Toc139862361"/>
      <w:bookmarkStart w:id="131" w:name="_Toc374378420"/>
      <w:bookmarkStart w:id="132" w:name="_Toc37670362"/>
      <w:r>
        <w:rPr>
          <w:rFonts w:hint="eastAsia" w:ascii="宋体" w:hAnsi="宋体" w:eastAsia="宋体" w:cs="宋体"/>
          <w:color w:val="auto"/>
          <w:kern w:val="0"/>
          <w:sz w:val="28"/>
          <w:szCs w:val="28"/>
          <w:highlight w:val="none"/>
        </w:rPr>
        <w:t xml:space="preserve"> </w:t>
      </w:r>
      <w:bookmarkEnd w:id="126"/>
      <w:bookmarkEnd w:id="127"/>
      <w:bookmarkEnd w:id="128"/>
      <w:bookmarkEnd w:id="129"/>
      <w:bookmarkEnd w:id="130"/>
      <w:bookmarkEnd w:id="131"/>
      <w:bookmarkEnd w:id="132"/>
      <w:bookmarkStart w:id="133" w:name="_Toc286240891"/>
      <w:bookmarkStart w:id="134" w:name="_Toc217623813"/>
      <w:bookmarkStart w:id="135" w:name="_Toc224094430"/>
      <w:r>
        <w:rPr>
          <w:rFonts w:hint="eastAsia" w:ascii="宋体" w:hAnsi="宋体" w:eastAsia="宋体" w:cs="宋体"/>
          <w:b/>
          <w:color w:val="auto"/>
          <w:kern w:val="0"/>
          <w:sz w:val="32"/>
          <w:szCs w:val="32"/>
          <w:highlight w:val="none"/>
        </w:rPr>
        <w:t>投标文件封面及目录部分</w:t>
      </w:r>
      <w:bookmarkEnd w:id="133"/>
      <w:bookmarkEnd w:id="134"/>
      <w:bookmarkEnd w:id="135"/>
    </w:p>
    <w:p>
      <w:pPr>
        <w:shd w:val="clear" w:color="auto" w:fill="auto"/>
        <w:spacing w:line="312" w:lineRule="auto"/>
        <w:ind w:firstLine="275" w:firstLineChars="98"/>
        <w:rPr>
          <w:rFonts w:hint="eastAsia" w:ascii="宋体" w:hAnsi="宋体" w:eastAsia="宋体" w:cs="宋体"/>
          <w:b/>
          <w:color w:val="auto"/>
          <w:kern w:val="0"/>
          <w:sz w:val="28"/>
          <w:szCs w:val="28"/>
          <w:highlight w:val="none"/>
        </w:rPr>
      </w:pPr>
    </w:p>
    <w:p>
      <w:pPr>
        <w:numPr>
          <w:ilvl w:val="0"/>
          <w:numId w:val="75"/>
        </w:numPr>
        <w:shd w:val="clear" w:color="auto" w:fill="auto"/>
        <w:tabs>
          <w:tab w:val="left" w:pos="720"/>
          <w:tab w:val="clear" w:pos="695"/>
        </w:tabs>
        <w:spacing w:line="480" w:lineRule="auto"/>
        <w:ind w:left="720" w:hanging="540"/>
        <w:rPr>
          <w:rFonts w:hint="eastAsia" w:ascii="宋体" w:hAnsi="宋体" w:eastAsia="宋体" w:cs="宋体"/>
          <w:b/>
          <w:color w:val="auto"/>
          <w:kern w:val="0"/>
          <w:sz w:val="28"/>
          <w:szCs w:val="28"/>
          <w:highlight w:val="none"/>
        </w:rPr>
      </w:pPr>
      <w:r>
        <w:rPr>
          <w:rFonts w:hint="eastAsia" w:ascii="宋体" w:hAnsi="宋体" w:cs="宋体"/>
          <w:b/>
          <w:color w:val="auto"/>
          <w:kern w:val="0"/>
          <w:sz w:val="28"/>
          <w:szCs w:val="28"/>
          <w:highlight w:val="none"/>
          <w:lang w:eastAsia="zh-CN"/>
        </w:rPr>
        <w:t>投标人</w:t>
      </w:r>
      <w:r>
        <w:rPr>
          <w:rFonts w:hint="eastAsia" w:ascii="宋体" w:hAnsi="宋体" w:eastAsia="宋体" w:cs="宋体"/>
          <w:b/>
          <w:color w:val="auto"/>
          <w:kern w:val="0"/>
          <w:sz w:val="28"/>
          <w:szCs w:val="28"/>
          <w:highlight w:val="none"/>
        </w:rPr>
        <w:t>应按本《招标文件》要求，自行设计和编制投标文件的封面和目录部分。</w:t>
      </w:r>
    </w:p>
    <w:p>
      <w:pPr>
        <w:numPr>
          <w:ilvl w:val="0"/>
          <w:numId w:val="75"/>
        </w:numPr>
        <w:shd w:val="clear" w:color="auto" w:fill="auto"/>
        <w:tabs>
          <w:tab w:val="left" w:pos="720"/>
          <w:tab w:val="clear" w:pos="695"/>
        </w:tabs>
        <w:spacing w:line="480" w:lineRule="auto"/>
        <w:ind w:left="900" w:hanging="72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投标文件封面上须包含但不限于以下内容：</w:t>
      </w:r>
    </w:p>
    <w:p>
      <w:pPr>
        <w:numPr>
          <w:ilvl w:val="1"/>
          <w:numId w:val="75"/>
        </w:numPr>
        <w:shd w:val="clear" w:color="auto" w:fill="auto"/>
        <w:tabs>
          <w:tab w:val="left" w:pos="1440"/>
          <w:tab w:val="clear" w:pos="1115"/>
        </w:tabs>
        <w:spacing w:line="480" w:lineRule="auto"/>
        <w:ind w:hanging="215"/>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项目名称</w:t>
      </w:r>
      <w:r>
        <w:rPr>
          <w:rFonts w:hint="eastAsia" w:ascii="宋体" w:hAnsi="宋体" w:cs="宋体"/>
          <w:color w:val="auto"/>
          <w:kern w:val="0"/>
          <w:sz w:val="24"/>
          <w:highlight w:val="none"/>
          <w:lang w:val="en-GB" w:eastAsia="zh-CN"/>
        </w:rPr>
        <w:t>、</w:t>
      </w:r>
      <w:r>
        <w:rPr>
          <w:rFonts w:hint="eastAsia" w:ascii="宋体" w:hAnsi="宋体" w:eastAsia="宋体" w:cs="宋体"/>
          <w:color w:val="auto"/>
          <w:kern w:val="0"/>
          <w:sz w:val="24"/>
          <w:highlight w:val="none"/>
          <w:lang w:val="en-GB"/>
        </w:rPr>
        <w:t>项目编号</w:t>
      </w:r>
      <w:r>
        <w:rPr>
          <w:rFonts w:hint="eastAsia" w:ascii="宋体" w:hAnsi="宋体" w:cs="宋体"/>
          <w:color w:val="auto"/>
          <w:kern w:val="0"/>
          <w:sz w:val="24"/>
          <w:highlight w:val="none"/>
          <w:lang w:val="en-GB" w:eastAsia="zh-CN"/>
        </w:rPr>
        <w:t>、</w:t>
      </w:r>
      <w:r>
        <w:rPr>
          <w:rFonts w:hint="eastAsia" w:ascii="宋体" w:hAnsi="宋体" w:cs="宋体"/>
          <w:color w:val="auto"/>
          <w:kern w:val="0"/>
          <w:sz w:val="24"/>
          <w:highlight w:val="none"/>
          <w:lang w:val="en-US" w:eastAsia="zh-CN"/>
        </w:rPr>
        <w:t>采购包（如有）</w:t>
      </w:r>
      <w:r>
        <w:rPr>
          <w:rFonts w:hint="eastAsia" w:ascii="宋体" w:hAnsi="宋体" w:eastAsia="宋体" w:cs="宋体"/>
          <w:color w:val="auto"/>
          <w:kern w:val="0"/>
          <w:sz w:val="24"/>
          <w:highlight w:val="none"/>
          <w:lang w:val="en-GB"/>
        </w:rPr>
        <w:t>；</w:t>
      </w:r>
    </w:p>
    <w:p>
      <w:pPr>
        <w:numPr>
          <w:ilvl w:val="1"/>
          <w:numId w:val="75"/>
        </w:numPr>
        <w:shd w:val="clear" w:color="auto" w:fill="auto"/>
        <w:tabs>
          <w:tab w:val="left" w:pos="1440"/>
          <w:tab w:val="clear" w:pos="1115"/>
        </w:tabs>
        <w:spacing w:line="480" w:lineRule="auto"/>
        <w:ind w:hanging="215"/>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eastAsia="zh-CN"/>
        </w:rPr>
        <w:t>投标人</w:t>
      </w:r>
      <w:r>
        <w:rPr>
          <w:rFonts w:hint="eastAsia" w:ascii="宋体" w:hAnsi="宋体" w:eastAsia="宋体" w:cs="宋体"/>
          <w:color w:val="auto"/>
          <w:kern w:val="0"/>
          <w:sz w:val="24"/>
          <w:highlight w:val="none"/>
          <w:lang w:val="en-GB"/>
        </w:rPr>
        <w:t>名称；</w:t>
      </w:r>
    </w:p>
    <w:p>
      <w:pPr>
        <w:numPr>
          <w:ilvl w:val="1"/>
          <w:numId w:val="75"/>
        </w:numPr>
        <w:shd w:val="clear" w:color="auto" w:fill="auto"/>
        <w:tabs>
          <w:tab w:val="left" w:pos="1440"/>
          <w:tab w:val="clear" w:pos="1115"/>
        </w:tabs>
        <w:spacing w:line="480" w:lineRule="auto"/>
        <w:ind w:hanging="215"/>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授权代表姓名及联系电话</w:t>
      </w:r>
    </w:p>
    <w:p>
      <w:pPr>
        <w:numPr>
          <w:ilvl w:val="1"/>
          <w:numId w:val="75"/>
        </w:numPr>
        <w:shd w:val="clear" w:color="auto" w:fill="auto"/>
        <w:tabs>
          <w:tab w:val="left" w:pos="1440"/>
          <w:tab w:val="clear" w:pos="1115"/>
        </w:tabs>
        <w:spacing w:line="480" w:lineRule="auto"/>
        <w:ind w:hanging="215"/>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注明“正本”或“副本”字样。</w:t>
      </w:r>
    </w:p>
    <w:p>
      <w:pPr>
        <w:numPr>
          <w:ilvl w:val="0"/>
          <w:numId w:val="75"/>
        </w:numPr>
        <w:shd w:val="clear" w:color="auto" w:fill="auto"/>
        <w:tabs>
          <w:tab w:val="left" w:pos="720"/>
          <w:tab w:val="clear" w:pos="695"/>
        </w:tabs>
        <w:spacing w:line="480" w:lineRule="auto"/>
        <w:ind w:left="720" w:hanging="540"/>
        <w:rPr>
          <w:rFonts w:hint="eastAsia" w:ascii="宋体" w:hAnsi="宋体" w:eastAsia="宋体" w:cs="宋体"/>
          <w:color w:val="auto"/>
          <w:kern w:val="0"/>
          <w:highlight w:val="none"/>
        </w:rPr>
      </w:pPr>
      <w:r>
        <w:rPr>
          <w:rFonts w:hint="eastAsia" w:ascii="宋体" w:hAnsi="宋体" w:eastAsia="宋体" w:cs="宋体"/>
          <w:b/>
          <w:color w:val="auto"/>
          <w:kern w:val="0"/>
          <w:sz w:val="28"/>
          <w:szCs w:val="28"/>
          <w:highlight w:val="none"/>
        </w:rPr>
        <w:t>投标文件必须编制目录，且目录必须清晰、准确，与投标文件中的每页所加注的页码相对应。</w:t>
      </w:r>
    </w:p>
    <w:p>
      <w:pPr>
        <w:numPr>
          <w:ilvl w:val="0"/>
          <w:numId w:val="75"/>
        </w:numPr>
        <w:shd w:val="clear" w:color="auto" w:fill="auto"/>
        <w:tabs>
          <w:tab w:val="left" w:pos="720"/>
          <w:tab w:val="clear" w:pos="695"/>
        </w:tabs>
        <w:spacing w:line="480" w:lineRule="auto"/>
        <w:ind w:left="720" w:hanging="54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投标文件的【正本】及所有【副本】</w:t>
      </w:r>
      <w:r>
        <w:rPr>
          <w:rFonts w:hint="eastAsia" w:ascii="宋体" w:hAnsi="宋体" w:eastAsia="宋体" w:cs="宋体"/>
          <w:b/>
          <w:color w:val="auto"/>
          <w:sz w:val="28"/>
          <w:szCs w:val="28"/>
          <w:highlight w:val="none"/>
        </w:rPr>
        <w:t>的签字盖章均须符合</w:t>
      </w:r>
      <w:r>
        <w:rPr>
          <w:rFonts w:hint="eastAsia" w:ascii="宋体" w:hAnsi="宋体" w:eastAsia="宋体" w:cs="宋体"/>
          <w:b/>
          <w:color w:val="auto"/>
          <w:sz w:val="28"/>
          <w:szCs w:val="28"/>
          <w:highlight w:val="none"/>
          <w:lang w:eastAsia="zh-CN"/>
        </w:rPr>
        <w:t>投标人须知</w:t>
      </w:r>
      <w:r>
        <w:rPr>
          <w:rFonts w:hint="eastAsia" w:ascii="宋体" w:hAnsi="宋体" w:eastAsia="宋体" w:cs="宋体"/>
          <w:b/>
          <w:color w:val="auto"/>
          <w:sz w:val="28"/>
          <w:szCs w:val="28"/>
          <w:highlight w:val="none"/>
        </w:rPr>
        <w:t>的要求</w:t>
      </w:r>
      <w:r>
        <w:rPr>
          <w:rFonts w:hint="eastAsia" w:ascii="宋体" w:hAnsi="宋体" w:eastAsia="宋体" w:cs="宋体"/>
          <w:b/>
          <w:color w:val="auto"/>
          <w:kern w:val="0"/>
          <w:sz w:val="28"/>
          <w:szCs w:val="28"/>
          <w:highlight w:val="none"/>
        </w:rPr>
        <w:t>。</w:t>
      </w:r>
    </w:p>
    <w:p>
      <w:pPr>
        <w:pStyle w:val="118"/>
        <w:shd w:val="clear" w:color="auto" w:fill="auto"/>
        <w:rPr>
          <w:rFonts w:hint="eastAsia" w:ascii="宋体" w:hAnsi="宋体" w:eastAsia="宋体" w:cs="宋体"/>
          <w:color w:val="auto"/>
          <w:spacing w:val="0"/>
          <w:highlight w:val="none"/>
        </w:rPr>
      </w:pPr>
    </w:p>
    <w:p>
      <w:pPr>
        <w:shd w:val="clear" w:color="auto" w:fill="auto"/>
        <w:spacing w:line="312" w:lineRule="auto"/>
        <w:ind w:firstLine="600" w:firstLineChars="250"/>
        <w:rPr>
          <w:rFonts w:hint="eastAsia" w:ascii="宋体" w:hAnsi="宋体" w:eastAsia="宋体" w:cs="宋体"/>
          <w:color w:val="auto"/>
          <w:kern w:val="0"/>
          <w:sz w:val="24"/>
          <w:highlight w:val="none"/>
        </w:rPr>
      </w:pPr>
    </w:p>
    <w:p>
      <w:pPr>
        <w:shd w:val="clear" w:color="auto" w:fill="auto"/>
        <w:spacing w:line="360" w:lineRule="auto"/>
        <w:ind w:left="472" w:hanging="472" w:hangingChars="196"/>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注：</w:t>
      </w:r>
    </w:p>
    <w:p>
      <w:pPr>
        <w:numPr>
          <w:ilvl w:val="0"/>
          <w:numId w:val="76"/>
        </w:numPr>
        <w:shd w:val="clear" w:color="auto" w:fill="auto"/>
        <w:spacing w:line="360" w:lineRule="auto"/>
        <w:ind w:left="364" w:hanging="364" w:hangingChars="151"/>
        <w:rPr>
          <w:rFonts w:hint="eastAsia" w:ascii="宋体" w:hAnsi="宋体" w:eastAsia="宋体" w:cs="宋体"/>
          <w:b/>
          <w:bCs/>
          <w:color w:val="auto"/>
          <w:kern w:val="0"/>
          <w:sz w:val="24"/>
          <w:highlight w:val="none"/>
        </w:rPr>
      </w:pPr>
      <w:r>
        <w:rPr>
          <w:rFonts w:hint="eastAsia" w:ascii="宋体" w:hAnsi="宋体" w:cs="宋体"/>
          <w:b/>
          <w:bCs/>
          <w:color w:val="auto"/>
          <w:kern w:val="0"/>
          <w:sz w:val="24"/>
          <w:highlight w:val="none"/>
          <w:lang w:eastAsia="zh-CN"/>
        </w:rPr>
        <w:t>投标人</w:t>
      </w:r>
      <w:r>
        <w:rPr>
          <w:rFonts w:hint="eastAsia" w:ascii="宋体" w:hAnsi="宋体" w:eastAsia="宋体" w:cs="宋体"/>
          <w:b/>
          <w:bCs/>
          <w:color w:val="auto"/>
          <w:kern w:val="0"/>
          <w:sz w:val="24"/>
          <w:highlight w:val="none"/>
        </w:rPr>
        <w:t>须按本部分的格式内容进行排版和编制《投标文件》，如属于格式外的，或本部分未提供具体格式的，</w:t>
      </w:r>
      <w:r>
        <w:rPr>
          <w:rFonts w:hint="eastAsia" w:ascii="宋体" w:hAnsi="宋体" w:cs="宋体"/>
          <w:b/>
          <w:bCs/>
          <w:color w:val="auto"/>
          <w:kern w:val="0"/>
          <w:sz w:val="24"/>
          <w:highlight w:val="none"/>
          <w:lang w:eastAsia="zh-CN"/>
        </w:rPr>
        <w:t>投标人</w:t>
      </w:r>
      <w:r>
        <w:rPr>
          <w:rFonts w:hint="eastAsia" w:ascii="宋体" w:hAnsi="宋体" w:eastAsia="宋体" w:cs="宋体"/>
          <w:b/>
          <w:bCs/>
          <w:color w:val="auto"/>
          <w:kern w:val="0"/>
          <w:sz w:val="24"/>
          <w:highlight w:val="none"/>
        </w:rPr>
        <w:t>可根据投标方案或内容，针对评审方法要求，自行拟定具体格式和设计排版。</w:t>
      </w:r>
    </w:p>
    <w:p>
      <w:pPr>
        <w:numPr>
          <w:ilvl w:val="0"/>
          <w:numId w:val="76"/>
        </w:numPr>
        <w:shd w:val="clear" w:color="auto" w:fill="auto"/>
        <w:spacing w:line="360" w:lineRule="auto"/>
        <w:ind w:left="364" w:hanging="364" w:hangingChars="151"/>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投标文件中不需提供本页。</w:t>
      </w:r>
    </w:p>
    <w:p>
      <w:pPr>
        <w:pStyle w:val="20"/>
        <w:rPr>
          <w:rFonts w:hint="eastAsia" w:ascii="宋体" w:hAnsi="宋体" w:eastAsia="宋体" w:cs="宋体"/>
          <w:b/>
          <w:bCs/>
          <w:color w:val="auto"/>
          <w:kern w:val="0"/>
          <w:sz w:val="24"/>
          <w:highlight w:val="none"/>
        </w:rPr>
      </w:pPr>
    </w:p>
    <w:p>
      <w:pPr>
        <w:spacing w:line="360" w:lineRule="auto"/>
        <w:jc w:val="center"/>
        <w:rPr>
          <w:rFonts w:hint="eastAsia" w:ascii="宋体" w:hAnsi="宋体" w:eastAsia="宋体" w:cs="宋体"/>
          <w:color w:val="auto"/>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投标文件目录</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自查表</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投标函</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投标人资格声明函</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highlight w:val="none"/>
          <w:shd w:val="clear" w:color="auto" w:fill="FFFFFF"/>
        </w:rPr>
        <w:t>履行合同所必需的设备和专业技术能力</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法定代表人</w:t>
      </w:r>
      <w:r>
        <w:rPr>
          <w:rFonts w:hint="eastAsia" w:ascii="宋体" w:hAnsi="宋体" w:cs="宋体"/>
          <w:b w:val="0"/>
          <w:bCs w:val="0"/>
          <w:color w:val="auto"/>
          <w:sz w:val="24"/>
          <w:szCs w:val="24"/>
          <w:highlight w:val="none"/>
          <w:lang w:eastAsia="zh-CN"/>
        </w:rPr>
        <w:t>资格</w:t>
      </w:r>
      <w:r>
        <w:rPr>
          <w:rFonts w:hint="eastAsia" w:ascii="宋体" w:hAnsi="宋体" w:eastAsia="宋体" w:cs="宋体"/>
          <w:b w:val="0"/>
          <w:bCs w:val="0"/>
          <w:color w:val="auto"/>
          <w:sz w:val="24"/>
          <w:szCs w:val="24"/>
          <w:highlight w:val="none"/>
        </w:rPr>
        <w:t>证明书</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法定代表人授权</w:t>
      </w:r>
      <w:r>
        <w:rPr>
          <w:rFonts w:hint="eastAsia" w:ascii="宋体" w:hAnsi="宋体" w:cs="宋体"/>
          <w:b w:val="0"/>
          <w:bCs w:val="0"/>
          <w:color w:val="auto"/>
          <w:sz w:val="24"/>
          <w:szCs w:val="24"/>
          <w:highlight w:val="none"/>
          <w:lang w:eastAsia="zh-CN"/>
        </w:rPr>
        <w:t>委托</w:t>
      </w:r>
      <w:r>
        <w:rPr>
          <w:rFonts w:hint="eastAsia" w:ascii="宋体" w:hAnsi="宋体" w:eastAsia="宋体" w:cs="宋体"/>
          <w:b w:val="0"/>
          <w:bCs w:val="0"/>
          <w:color w:val="auto"/>
          <w:sz w:val="24"/>
          <w:szCs w:val="24"/>
          <w:highlight w:val="none"/>
        </w:rPr>
        <w:t>书</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投标保证金</w:t>
      </w:r>
      <w:r>
        <w:rPr>
          <w:rFonts w:hint="eastAsia" w:ascii="宋体" w:hAnsi="宋体" w:cs="宋体"/>
          <w:b w:val="0"/>
          <w:bCs w:val="0"/>
          <w:color w:val="auto"/>
          <w:sz w:val="24"/>
          <w:szCs w:val="24"/>
          <w:highlight w:val="none"/>
          <w:lang w:eastAsia="zh-CN"/>
        </w:rPr>
        <w:t>缴纳凭证</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投标人情况介绍表</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技术和服务要求响应表</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商务条件响应表</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投标人获得相关部门颁发的资</w:t>
      </w:r>
      <w:r>
        <w:rPr>
          <w:rFonts w:hint="eastAsia" w:ascii="宋体" w:hAnsi="宋体" w:cs="宋体"/>
          <w:b w:val="0"/>
          <w:bCs w:val="0"/>
          <w:color w:val="auto"/>
          <w:sz w:val="24"/>
          <w:szCs w:val="24"/>
          <w:highlight w:val="none"/>
          <w:lang w:eastAsia="zh-CN"/>
        </w:rPr>
        <w:t>质证</w:t>
      </w:r>
      <w:r>
        <w:rPr>
          <w:rFonts w:hint="eastAsia" w:ascii="宋体" w:hAnsi="宋体" w:eastAsia="宋体" w:cs="宋体"/>
          <w:b w:val="0"/>
          <w:bCs w:val="0"/>
          <w:color w:val="auto"/>
          <w:sz w:val="24"/>
          <w:szCs w:val="24"/>
          <w:highlight w:val="none"/>
        </w:rPr>
        <w:t>书、荣誉证书、获奖证书</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rPr>
        <w:t>同类项目情况一览表</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rPr>
        <w:t>拟投入本项目人员一览表</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rPr>
        <w:t>服务方案</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其他材料</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rPr>
        <w:t>开标一览表</w:t>
      </w:r>
      <w:r>
        <w:rPr>
          <w:rFonts w:hint="eastAsia" w:ascii="宋体" w:hAnsi="宋体" w:eastAsia="宋体" w:cs="宋体"/>
          <w:b w:val="0"/>
          <w:bCs w:val="0"/>
          <w:color w:val="auto"/>
          <w:sz w:val="24"/>
          <w:highlight w:val="none"/>
          <w:lang w:eastAsia="zh-CN"/>
        </w:rPr>
        <w:t>（报价一览表）</w:t>
      </w:r>
    </w:p>
    <w:p>
      <w:pPr>
        <w:numPr>
          <w:ilvl w:val="0"/>
          <w:numId w:val="77"/>
        </w:numPr>
        <w:spacing w:beforeLines="0" w:afterLines="0"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rPr>
        <w:t>分项报价表</w:t>
      </w:r>
    </w:p>
    <w:p>
      <w:pPr>
        <w:pStyle w:val="3"/>
        <w:bidi w:val="0"/>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kern w:val="0"/>
          <w:sz w:val="28"/>
          <w:szCs w:val="28"/>
          <w:highlight w:val="none"/>
        </w:rPr>
        <w:br w:type="page"/>
      </w:r>
      <w:r>
        <w:rPr>
          <w:rFonts w:hint="eastAsia" w:ascii="宋体" w:hAnsi="宋体" w:eastAsia="宋体" w:cs="宋体"/>
          <w:color w:val="auto"/>
          <w:sz w:val="24"/>
          <w:szCs w:val="24"/>
          <w:highlight w:val="none"/>
          <w:lang w:eastAsia="zh-CN"/>
        </w:rPr>
        <w:t>自查表</w:t>
      </w:r>
    </w:p>
    <w:p>
      <w:pPr>
        <w:pStyle w:val="26"/>
        <w:spacing w:line="360" w:lineRule="auto"/>
        <w:ind w:right="-197" w:rightChars="-94"/>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资格</w:t>
      </w:r>
      <w:r>
        <w:rPr>
          <w:rFonts w:hint="eastAsia" w:ascii="宋体" w:hAnsi="宋体" w:eastAsia="宋体" w:cs="宋体"/>
          <w:b/>
          <w:color w:val="auto"/>
          <w:sz w:val="24"/>
          <w:szCs w:val="24"/>
          <w:highlight w:val="none"/>
          <w:lang w:eastAsia="zh-CN"/>
        </w:rPr>
        <w:t>性</w:t>
      </w:r>
      <w:r>
        <w:rPr>
          <w:rFonts w:hint="eastAsia" w:ascii="宋体" w:hAnsi="宋体" w:eastAsia="宋体" w:cs="宋体"/>
          <w:b/>
          <w:color w:val="auto"/>
          <w:sz w:val="24"/>
          <w:szCs w:val="24"/>
          <w:highlight w:val="none"/>
          <w:lang w:val="en-US" w:eastAsia="zh-CN"/>
        </w:rPr>
        <w:t>/符合性自查表</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4897"/>
        <w:gridCol w:w="1272"/>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52" w:type="dxa"/>
            <w:noWrap w:val="0"/>
            <w:vAlign w:val="center"/>
          </w:tcPr>
          <w:p>
            <w:pPr>
              <w:bidi w:val="0"/>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评审内容</w:t>
            </w:r>
          </w:p>
        </w:tc>
        <w:tc>
          <w:tcPr>
            <w:tcW w:w="4897" w:type="dxa"/>
            <w:noWrap w:val="0"/>
            <w:vAlign w:val="center"/>
          </w:tcPr>
          <w:p>
            <w:pPr>
              <w:bidi w:val="0"/>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招标文件要求</w:t>
            </w:r>
          </w:p>
        </w:tc>
        <w:tc>
          <w:tcPr>
            <w:tcW w:w="1272" w:type="dxa"/>
            <w:noWrap w:val="0"/>
            <w:vAlign w:val="center"/>
          </w:tcPr>
          <w:p>
            <w:pPr>
              <w:bidi w:val="0"/>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自查结论</w:t>
            </w:r>
          </w:p>
        </w:tc>
        <w:tc>
          <w:tcPr>
            <w:tcW w:w="1597" w:type="dxa"/>
            <w:noWrap w:val="0"/>
            <w:vAlign w:val="center"/>
          </w:tcPr>
          <w:p>
            <w:pPr>
              <w:bidi w:val="0"/>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restart"/>
            <w:noWrap w:val="0"/>
            <w:vAlign w:val="center"/>
          </w:tcPr>
          <w:p>
            <w:pPr>
              <w:bidi w:val="0"/>
              <w:spacing w:line="36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bCs/>
                <w:color w:val="auto"/>
                <w:sz w:val="24"/>
                <w:szCs w:val="24"/>
                <w:highlight w:val="none"/>
                <w:lang w:eastAsia="zh-CN"/>
              </w:rPr>
              <w:t>资格性审查</w:t>
            </w:r>
          </w:p>
        </w:tc>
        <w:tc>
          <w:tcPr>
            <w:tcW w:w="4897" w:type="dxa"/>
            <w:noWrap w:val="0"/>
            <w:vAlign w:val="top"/>
          </w:tcPr>
          <w:p>
            <w:pPr>
              <w:bidi w:val="0"/>
              <w:spacing w:line="36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具有独立承担民事责任的能力（在中华人民共和国境内注册的单位提供营业执照或事业法人登记证或社会团体法人登记证书）。</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cs="宋体"/>
                <w:b w:val="0"/>
                <w:bCs w:val="0"/>
                <w:color w:val="auto"/>
                <w:sz w:val="24"/>
                <w:highlight w:val="none"/>
                <w:shd w:val="clear" w:color="auto" w:fill="FFFFFF"/>
                <w:lang w:eastAsia="zh-CN"/>
              </w:rPr>
              <w:t>具有良好的商业信誉和健全的财务会计制度（提供2022年度或2023年度的财务状况报告，如为2024年新成立的公司，应提供成立至投标文件递交截止时间止任意一个月的公司财务状况报告，或提供银行出具的资信证明）</w:t>
            </w:r>
            <w:r>
              <w:rPr>
                <w:rFonts w:hint="eastAsia" w:ascii="宋体" w:hAnsi="宋体" w:eastAsia="宋体" w:cs="宋体"/>
                <w:b w:val="0"/>
                <w:bCs w:val="0"/>
                <w:color w:val="auto"/>
                <w:sz w:val="24"/>
                <w:highlight w:val="none"/>
                <w:shd w:val="clear" w:color="auto" w:fill="FFFFFF"/>
                <w:lang w:eastAsia="zh-CN"/>
              </w:rPr>
              <w:t>。</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shd w:val="clear" w:color="auto" w:fill="FFFFFF"/>
              </w:rPr>
              <w:t>有依法缴纳税收和社会保障资金的良好记录（</w:t>
            </w:r>
            <w:r>
              <w:rPr>
                <w:rFonts w:hint="eastAsia" w:ascii="宋体" w:hAnsi="宋体" w:cs="宋体"/>
                <w:color w:val="auto"/>
                <w:sz w:val="24"/>
                <w:highlight w:val="none"/>
                <w:shd w:val="clear" w:color="auto" w:fill="FFFFFF"/>
                <w:lang w:eastAsia="zh-CN"/>
              </w:rPr>
              <w:t>提供扣除投标邀请书发出当月往前顺推6个月内任意一个月依法缴纳税收和社会保障资金的相关材料。如依法免税或不需要缴纳社会保障资金的，提供相应证明材料</w:t>
            </w:r>
            <w:r>
              <w:rPr>
                <w:rFonts w:hint="eastAsia" w:ascii="宋体" w:hAnsi="宋体" w:eastAsia="宋体" w:cs="宋体"/>
                <w:color w:val="auto"/>
                <w:sz w:val="24"/>
                <w:highlight w:val="none"/>
                <w:shd w:val="clear" w:color="auto" w:fill="FFFFFF"/>
              </w:rPr>
              <w:t>）</w:t>
            </w:r>
            <w:r>
              <w:rPr>
                <w:rFonts w:hint="eastAsia" w:ascii="宋体" w:hAnsi="宋体" w:eastAsia="宋体" w:cs="宋体"/>
                <w:color w:val="auto"/>
                <w:sz w:val="24"/>
                <w:highlight w:val="none"/>
                <w:shd w:val="clear" w:color="auto" w:fill="FFFFFF"/>
                <w:lang w:eastAsia="zh-CN"/>
              </w:rPr>
              <w:t>。</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rPr>
            </w:pPr>
          </w:p>
        </w:tc>
        <w:tc>
          <w:tcPr>
            <w:tcW w:w="4897" w:type="dxa"/>
            <w:noWrap w:val="0"/>
            <w:vAlign w:val="top"/>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rPr>
              <w:t>履行合同所必需的设备和专业技术能力</w:t>
            </w:r>
            <w:r>
              <w:rPr>
                <w:rFonts w:hint="eastAsia" w:ascii="宋体" w:hAnsi="宋体" w:cs="宋体"/>
                <w:color w:val="auto"/>
                <w:sz w:val="24"/>
                <w:highlight w:val="none"/>
              </w:rPr>
              <w:t>：</w:t>
            </w:r>
            <w:r>
              <w:rPr>
                <w:rFonts w:hint="eastAsia" w:ascii="宋体" w:hAnsi="宋体" w:cs="宋体"/>
                <w:color w:val="auto"/>
                <w:kern w:val="0"/>
                <w:sz w:val="24"/>
                <w:szCs w:val="24"/>
                <w:highlight w:val="none"/>
                <w:lang w:eastAsia="zh-CN"/>
              </w:rPr>
              <w:t>按投标文件格式填报设备及专业技术能力情况。</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rPr>
            </w:pPr>
          </w:p>
        </w:tc>
        <w:tc>
          <w:tcPr>
            <w:tcW w:w="4897" w:type="dxa"/>
            <w:noWrap w:val="0"/>
            <w:vAlign w:val="top"/>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shd w:val="clear" w:color="auto" w:fill="FFFFFF"/>
              </w:rPr>
              <w:t>参加政府采购活动前三年内，在经营活动中没有重大违法记录</w:t>
            </w:r>
            <w:r>
              <w:rPr>
                <w:rFonts w:hint="eastAsia" w:ascii="宋体" w:hAnsi="宋体" w:cs="宋体"/>
                <w:color w:val="auto"/>
                <w:sz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rPr>
              <w:t>提供《</w:t>
            </w:r>
            <w:r>
              <w:rPr>
                <w:rFonts w:hint="eastAsia" w:ascii="宋体" w:hAnsi="宋体" w:eastAsia="宋体" w:cs="宋体"/>
                <w:color w:val="auto"/>
                <w:sz w:val="24"/>
                <w:highlight w:val="none"/>
                <w:shd w:val="clear" w:color="auto" w:fill="FFFFFF"/>
              </w:rPr>
              <w:t>投标人资格声明函</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cs="宋体"/>
                <w:color w:val="auto"/>
                <w:sz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rPr>
              <w:t>。重大违法记录，是指</w:t>
            </w:r>
            <w:r>
              <w:rPr>
                <w:rFonts w:hint="eastAsia" w:ascii="宋体" w:hAnsi="宋体" w:cs="宋体"/>
                <w:i w:val="0"/>
                <w:iCs w:val="0"/>
                <w:caps w:val="0"/>
                <w:color w:val="auto"/>
                <w:spacing w:val="0"/>
                <w:sz w:val="24"/>
                <w:szCs w:val="24"/>
                <w:highlight w:val="none"/>
                <w:shd w:val="clear" w:color="auto" w:fill="FFFFFF"/>
                <w:lang w:val="en-US" w:eastAsia="zh-CN"/>
              </w:rPr>
              <w:t>投标人</w:t>
            </w:r>
            <w:r>
              <w:rPr>
                <w:rFonts w:hint="eastAsia" w:ascii="宋体" w:hAnsi="宋体" w:eastAsia="宋体" w:cs="宋体"/>
                <w:i w:val="0"/>
                <w:iCs w:val="0"/>
                <w:caps w:val="0"/>
                <w:color w:val="auto"/>
                <w:spacing w:val="0"/>
                <w:sz w:val="24"/>
                <w:szCs w:val="24"/>
                <w:highlight w:val="none"/>
                <w:shd w:val="clear" w:color="auto" w:fill="FFFFFF"/>
              </w:rPr>
              <w:t>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eastAsia="宋体" w:cs="宋体"/>
                <w:i w:val="0"/>
                <w:iCs w:val="0"/>
                <w:caps w:val="0"/>
                <w:color w:val="auto"/>
                <w:spacing w:val="0"/>
                <w:sz w:val="24"/>
                <w:szCs w:val="24"/>
                <w:highlight w:val="none"/>
                <w:shd w:val="clear" w:color="auto" w:fill="FFFFFF"/>
                <w:lang w:eastAsia="zh-CN"/>
              </w:rPr>
              <w:t>。</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rPr>
            </w:pPr>
          </w:p>
        </w:tc>
        <w:tc>
          <w:tcPr>
            <w:tcW w:w="4897" w:type="dxa"/>
            <w:noWrap w:val="0"/>
            <w:vAlign w:val="top"/>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投标人未被列入“信用中国”网站(www.creditchina.gov.cn)以下任何记录名单之 一：①失信被执行人；②重大税收违法失信主体；③政府采购严重违法失信行为。同时，不处于中国政府采购网(www.cc gp.gov.cn)“政府采购严重违法失信行为信息记录”中的禁止参加政府采购活动期间 。</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rPr>
            </w:pPr>
          </w:p>
        </w:tc>
        <w:tc>
          <w:tcPr>
            <w:tcW w:w="4897" w:type="dxa"/>
            <w:noWrap w:val="0"/>
            <w:vAlign w:val="top"/>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单位负责人为同一人或者存在直接控股、管理关系的不同投标人，不得参加同一合同项下的政府采购活动。</w:t>
            </w:r>
            <w:r>
              <w:rPr>
                <w:rFonts w:hint="eastAsia" w:ascii="宋体" w:hAnsi="宋体" w:eastAsia="宋体" w:cs="宋体"/>
                <w:color w:val="auto"/>
                <w:sz w:val="24"/>
                <w:szCs w:val="24"/>
                <w:highlight w:val="none"/>
              </w:rPr>
              <w:t>为本项目提供整体设计、规范编制或者</w:t>
            </w:r>
            <w:r>
              <w:rPr>
                <w:rFonts w:hint="eastAsia" w:ascii="宋体" w:hAnsi="宋体" w:eastAsia="宋体" w:cs="宋体"/>
                <w:color w:val="auto"/>
                <w:sz w:val="24"/>
                <w:szCs w:val="24"/>
                <w:highlight w:val="none"/>
                <w:lang w:eastAsia="zh-CN"/>
              </w:rPr>
              <w:t>项目管理</w:t>
            </w:r>
            <w:r>
              <w:rPr>
                <w:rFonts w:hint="eastAsia" w:ascii="宋体" w:hAnsi="宋体" w:eastAsia="宋体" w:cs="宋体"/>
                <w:color w:val="auto"/>
                <w:sz w:val="24"/>
                <w:szCs w:val="24"/>
                <w:highlight w:val="none"/>
              </w:rPr>
              <w:t>、监理、检测等服务的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，不得再参与本项目投标。</w:t>
            </w:r>
            <w:r>
              <w:rPr>
                <w:rFonts w:hint="eastAsia" w:ascii="宋体" w:hAnsi="宋体" w:eastAsia="宋体" w:cs="宋体"/>
                <w:i w:val="0"/>
                <w:iCs w:val="0"/>
                <w:caps w:val="0"/>
                <w:color w:val="auto"/>
                <w:spacing w:val="0"/>
                <w:sz w:val="24"/>
                <w:szCs w:val="24"/>
                <w:highlight w:val="none"/>
                <w:shd w:val="clear" w:color="auto" w:fill="FFFFFF"/>
              </w:rPr>
              <w:t>投标人须提供《</w:t>
            </w:r>
            <w:r>
              <w:rPr>
                <w:rFonts w:hint="eastAsia" w:ascii="宋体" w:hAnsi="宋体" w:eastAsia="宋体" w:cs="宋体"/>
                <w:color w:val="auto"/>
                <w:sz w:val="24"/>
                <w:szCs w:val="24"/>
                <w:highlight w:val="none"/>
                <w:shd w:val="clear" w:color="auto" w:fill="FFFFFF"/>
              </w:rPr>
              <w:t>投标人资格声明函</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eastAsia="宋体" w:cs="宋体"/>
                <w:i w:val="0"/>
                <w:iCs w:val="0"/>
                <w:caps w:val="0"/>
                <w:color w:val="auto"/>
                <w:spacing w:val="0"/>
                <w:sz w:val="24"/>
                <w:szCs w:val="24"/>
                <w:highlight w:val="none"/>
                <w:shd w:val="clear" w:color="auto" w:fill="FFFFFF"/>
                <w:lang w:eastAsia="zh-CN"/>
              </w:rPr>
              <w:t>。</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本项目不接受联合体参与投标</w:t>
            </w:r>
            <w:r>
              <w:rPr>
                <w:rFonts w:hint="eastAsia" w:ascii="宋体" w:hAnsi="宋体" w:eastAsia="宋体" w:cs="宋体"/>
                <w:color w:val="auto"/>
                <w:sz w:val="24"/>
                <w:szCs w:val="24"/>
                <w:highlight w:val="none"/>
                <w:lang w:val="en-US" w:eastAsia="zh-CN"/>
              </w:rPr>
              <w:t>。</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restart"/>
            <w:noWrap w:val="0"/>
            <w:vAlign w:val="center"/>
          </w:tcPr>
          <w:p>
            <w:pPr>
              <w:bidi w:val="0"/>
              <w:spacing w:line="36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lang w:eastAsia="zh-CN"/>
              </w:rPr>
              <w:t>符合性审查</w:t>
            </w:r>
          </w:p>
        </w:tc>
        <w:tc>
          <w:tcPr>
            <w:tcW w:w="48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投标函</w:t>
            </w:r>
            <w:r>
              <w:rPr>
                <w:rFonts w:hint="eastAsia" w:ascii="宋体" w:hAnsi="宋体" w:eastAsia="宋体" w:cs="宋体"/>
                <w:color w:val="auto"/>
                <w:sz w:val="24"/>
                <w:szCs w:val="24"/>
                <w:highlight w:val="none"/>
                <w:lang w:eastAsia="zh-CN"/>
              </w:rPr>
              <w:t>已提交并符合招标文件要求的。</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lang w:eastAsia="zh-CN"/>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投标保证金已按要求缴纳。</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lang w:eastAsia="zh-CN"/>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法定代表人资格证明书及授权委托书</w:t>
            </w:r>
            <w:r>
              <w:rPr>
                <w:rFonts w:hint="eastAsia" w:ascii="宋体" w:hAnsi="宋体" w:eastAsia="宋体" w:cs="宋体"/>
                <w:color w:val="auto"/>
                <w:sz w:val="24"/>
                <w:szCs w:val="24"/>
                <w:highlight w:val="none"/>
                <w:lang w:eastAsia="zh-CN"/>
              </w:rPr>
              <w:t>已提交</w:t>
            </w:r>
          </w:p>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并按</w:t>
            </w:r>
            <w:r>
              <w:rPr>
                <w:rFonts w:hint="eastAsia" w:ascii="宋体" w:hAnsi="宋体" w:eastAsia="宋体" w:cs="宋体"/>
                <w:color w:val="auto"/>
                <w:sz w:val="24"/>
                <w:szCs w:val="24"/>
                <w:highlight w:val="none"/>
              </w:rPr>
              <w:t>规定</w:t>
            </w:r>
            <w:r>
              <w:rPr>
                <w:rFonts w:hint="eastAsia" w:ascii="宋体" w:hAnsi="宋体" w:eastAsia="宋体" w:cs="宋体"/>
                <w:color w:val="auto"/>
                <w:sz w:val="24"/>
                <w:szCs w:val="24"/>
                <w:highlight w:val="none"/>
                <w:lang w:eastAsia="zh-CN"/>
              </w:rPr>
              <w:t>要求签字、盖章</w:t>
            </w:r>
            <w:r>
              <w:rPr>
                <w:rFonts w:hint="eastAsia" w:ascii="宋体" w:hAnsi="宋体" w:eastAsia="宋体" w:cs="宋体"/>
                <w:color w:val="auto"/>
                <w:sz w:val="24"/>
                <w:szCs w:val="24"/>
                <w:highlight w:val="none"/>
              </w:rPr>
              <w:t>齐全。</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lang w:eastAsia="zh-CN"/>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投标文件签字盖章符合《</w:t>
            </w:r>
            <w:r>
              <w:rPr>
                <w:rFonts w:hint="eastAsia" w:ascii="宋体" w:hAnsi="宋体" w:eastAsia="宋体" w:cs="宋体"/>
                <w:color w:val="auto"/>
                <w:sz w:val="24"/>
                <w:szCs w:val="24"/>
                <w:highlight w:val="none"/>
                <w:lang w:eastAsia="zh-CN"/>
              </w:rPr>
              <w:t>投标人须知前附表</w:t>
            </w:r>
            <w:r>
              <w:rPr>
                <w:rFonts w:hint="eastAsia" w:ascii="宋体" w:hAnsi="宋体" w:eastAsia="宋体" w:cs="宋体"/>
                <w:color w:val="auto"/>
                <w:sz w:val="24"/>
                <w:szCs w:val="24"/>
                <w:highlight w:val="none"/>
              </w:rPr>
              <w:t>》的规定</w:t>
            </w:r>
            <w:r>
              <w:rPr>
                <w:rFonts w:hint="eastAsia" w:ascii="宋体" w:hAnsi="宋体" w:eastAsia="宋体" w:cs="宋体"/>
                <w:color w:val="auto"/>
                <w:sz w:val="24"/>
                <w:szCs w:val="24"/>
                <w:highlight w:val="none"/>
                <w:lang w:eastAsia="zh-CN"/>
              </w:rPr>
              <w:t>要求签字、盖章</w:t>
            </w:r>
            <w:r>
              <w:rPr>
                <w:rFonts w:hint="eastAsia" w:ascii="宋体" w:hAnsi="宋体" w:eastAsia="宋体" w:cs="宋体"/>
                <w:color w:val="auto"/>
                <w:sz w:val="24"/>
                <w:szCs w:val="24"/>
                <w:highlight w:val="none"/>
              </w:rPr>
              <w:t>齐全。</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lang w:eastAsia="zh-CN"/>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报价在招标文件规定的有效报价范围内，且</w:t>
            </w:r>
          </w:p>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固定唯一。</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lang w:eastAsia="zh-CN"/>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投标有效期符合《</w:t>
            </w:r>
            <w:r>
              <w:rPr>
                <w:rFonts w:hint="eastAsia" w:ascii="宋体" w:hAnsi="宋体" w:eastAsia="宋体" w:cs="宋体"/>
                <w:color w:val="auto"/>
                <w:sz w:val="24"/>
                <w:szCs w:val="24"/>
                <w:highlight w:val="none"/>
                <w:lang w:eastAsia="zh-CN"/>
              </w:rPr>
              <w:t>投标人须知前附表</w:t>
            </w:r>
            <w:r>
              <w:rPr>
                <w:rFonts w:hint="eastAsia" w:ascii="宋体" w:hAnsi="宋体" w:eastAsia="宋体" w:cs="宋体"/>
                <w:color w:val="auto"/>
                <w:sz w:val="24"/>
                <w:szCs w:val="24"/>
                <w:highlight w:val="none"/>
              </w:rPr>
              <w:t>》的规</w:t>
            </w:r>
          </w:p>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定。</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lang w:eastAsia="zh-CN"/>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投标范围符合本项目规定的招标范围。</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lang w:eastAsia="zh-CN"/>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投标文件完全满足招标文件的实质性条款</w:t>
            </w:r>
          </w:p>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（即标注★号条款）无负偏离的</w:t>
            </w:r>
            <w:r>
              <w:rPr>
                <w:rFonts w:hint="eastAsia" w:ascii="宋体" w:hAnsi="宋体" w:eastAsia="宋体" w:cs="宋体"/>
                <w:color w:val="auto"/>
                <w:sz w:val="24"/>
                <w:szCs w:val="24"/>
                <w:highlight w:val="none"/>
                <w:lang w:eastAsia="zh-CN"/>
              </w:rPr>
              <w:t>。</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noWrap w:val="0"/>
            <w:vAlign w:val="center"/>
          </w:tcPr>
          <w:p>
            <w:pPr>
              <w:bidi w:val="0"/>
              <w:spacing w:line="360" w:lineRule="auto"/>
              <w:rPr>
                <w:rFonts w:hint="eastAsia" w:ascii="宋体" w:hAnsi="宋体" w:eastAsia="宋体" w:cs="宋体"/>
                <w:b w:val="0"/>
                <w:bCs w:val="0"/>
                <w:color w:val="auto"/>
                <w:sz w:val="24"/>
                <w:szCs w:val="24"/>
                <w:highlight w:val="none"/>
              </w:rPr>
            </w:pPr>
          </w:p>
        </w:tc>
        <w:tc>
          <w:tcPr>
            <w:tcW w:w="4897"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投标文件没有招标文件中规定的其它无效投</w:t>
            </w:r>
          </w:p>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标条款的。</w:t>
            </w:r>
          </w:p>
        </w:tc>
        <w:tc>
          <w:tcPr>
            <w:tcW w:w="1272" w:type="dxa"/>
            <w:noWrap w:val="0"/>
            <w:vAlign w:val="center"/>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c>
          <w:tcPr>
            <w:tcW w:w="1597" w:type="dxa"/>
            <w:noWrap w:val="0"/>
            <w:vAlign w:val="center"/>
          </w:tcPr>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见投标文件第（）页</w:t>
            </w:r>
          </w:p>
        </w:tc>
      </w:tr>
    </w:tbl>
    <w:p>
      <w:pPr>
        <w:spacing w:beforeLines="0" w:afterLines="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32"/>
          <w:highlight w:val="none"/>
        </w:rPr>
        <w:t>注：以上材料将作为</w:t>
      </w:r>
      <w:r>
        <w:rPr>
          <w:rFonts w:hint="eastAsia" w:ascii="宋体" w:hAnsi="宋体" w:cs="宋体"/>
          <w:color w:val="auto"/>
          <w:sz w:val="24"/>
          <w:szCs w:val="32"/>
          <w:highlight w:val="none"/>
          <w:lang w:eastAsia="zh-CN"/>
        </w:rPr>
        <w:t>投标人</w:t>
      </w:r>
      <w:r>
        <w:rPr>
          <w:rFonts w:hint="eastAsia" w:ascii="宋体" w:hAnsi="宋体" w:eastAsia="宋体" w:cs="宋体"/>
          <w:color w:val="auto"/>
          <w:sz w:val="24"/>
          <w:szCs w:val="32"/>
          <w:highlight w:val="none"/>
        </w:rPr>
        <w:t>资格性、符合性审查内容的重要组成部分，</w:t>
      </w:r>
      <w:r>
        <w:rPr>
          <w:rFonts w:hint="eastAsia" w:ascii="宋体" w:hAnsi="宋体" w:cs="宋体"/>
          <w:color w:val="auto"/>
          <w:sz w:val="24"/>
          <w:szCs w:val="32"/>
          <w:highlight w:val="none"/>
          <w:lang w:eastAsia="zh-CN"/>
        </w:rPr>
        <w:t>投标人</w:t>
      </w:r>
      <w:r>
        <w:rPr>
          <w:rFonts w:hint="eastAsia" w:ascii="宋体" w:hAnsi="宋体" w:eastAsia="宋体" w:cs="宋体"/>
          <w:color w:val="auto"/>
          <w:sz w:val="24"/>
          <w:szCs w:val="32"/>
          <w:highlight w:val="none"/>
        </w:rPr>
        <w:t>必须严格按照其内容及序列要求在响应文件中如实提供，并在对应的□打“√”（或把对应的“□”改成“√”）。</w:t>
      </w:r>
    </w:p>
    <w:p>
      <w:pPr>
        <w:spacing w:line="360" w:lineRule="auto"/>
        <w:jc w:val="left"/>
        <w:rPr>
          <w:rFonts w:hint="eastAsia" w:ascii="宋体" w:hAnsi="宋体" w:eastAsia="宋体" w:cs="宋体"/>
          <w:color w:val="auto"/>
          <w:szCs w:val="21"/>
          <w:highlight w:val="none"/>
          <w:lang w:eastAsia="zh-CN"/>
        </w:rPr>
      </w:pPr>
    </w:p>
    <w:p>
      <w:pPr>
        <w:spacing w:line="360" w:lineRule="auto"/>
        <w:jc w:val="left"/>
        <w:rPr>
          <w:rFonts w:hint="eastAsia" w:ascii="宋体" w:hAnsi="宋体" w:eastAsia="宋体" w:cs="宋体"/>
          <w:color w:val="auto"/>
          <w:sz w:val="24"/>
          <w:szCs w:val="24"/>
          <w:highlight w:val="none"/>
          <w:lang w:eastAsia="zh-CN"/>
        </w:rPr>
      </w:pPr>
    </w:p>
    <w:p>
      <w:pPr>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名称（盖单位公章）：</w:t>
      </w:r>
      <w:r>
        <w:rPr>
          <w:rFonts w:hint="eastAsia" w:ascii="宋体" w:hAnsi="宋体" w:eastAsia="宋体" w:cs="宋体"/>
          <w:color w:val="auto"/>
          <w:sz w:val="24"/>
          <w:szCs w:val="24"/>
          <w:highlight w:val="none"/>
          <w:u w:val="single"/>
        </w:rPr>
        <w:t xml:space="preserve">                     </w:t>
      </w:r>
    </w:p>
    <w:p>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日期：     年   月   日</w:t>
      </w:r>
    </w:p>
    <w:p>
      <w:pPr>
        <w:spacing w:line="360" w:lineRule="auto"/>
        <w:jc w:val="left"/>
        <w:rPr>
          <w:rFonts w:hint="eastAsia" w:ascii="宋体" w:hAnsi="宋体" w:eastAsia="宋体" w:cs="宋体"/>
          <w:color w:val="auto"/>
          <w:szCs w:val="21"/>
          <w:highlight w:val="none"/>
          <w:lang w:eastAsia="zh-CN"/>
        </w:rPr>
      </w:pPr>
    </w:p>
    <w:p>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Cs w:val="21"/>
          <w:highlight w:val="none"/>
          <w:lang w:eastAsia="zh-CN"/>
        </w:rPr>
        <w:br w:type="page"/>
      </w:r>
      <w:r>
        <w:rPr>
          <w:rFonts w:hint="eastAsia" w:ascii="宋体" w:hAnsi="宋体" w:eastAsia="宋体" w:cs="宋体"/>
          <w:b/>
          <w:bCs/>
          <w:color w:val="auto"/>
          <w:sz w:val="24"/>
          <w:szCs w:val="24"/>
          <w:highlight w:val="none"/>
          <w:lang w:val="en-US" w:eastAsia="zh-CN"/>
        </w:rPr>
        <w:t>评审项目资料表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4217"/>
        <w:gridCol w:w="1265"/>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1" w:type="dxa"/>
            <w:noWrap w:val="0"/>
            <w:vAlign w:val="bottom"/>
          </w:tcPr>
          <w:p>
            <w:pPr>
              <w:spacing w:line="480" w:lineRule="auto"/>
              <w:jc w:val="center"/>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评审内容</w:t>
            </w:r>
          </w:p>
        </w:tc>
        <w:tc>
          <w:tcPr>
            <w:tcW w:w="4217" w:type="dxa"/>
            <w:noWrap w:val="0"/>
            <w:vAlign w:val="bottom"/>
          </w:tcPr>
          <w:p>
            <w:pPr>
              <w:spacing w:line="480" w:lineRule="auto"/>
              <w:jc w:val="center"/>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评审细则</w:t>
            </w:r>
          </w:p>
        </w:tc>
        <w:tc>
          <w:tcPr>
            <w:tcW w:w="1265" w:type="dxa"/>
            <w:noWrap w:val="0"/>
            <w:vAlign w:val="bottom"/>
          </w:tcPr>
          <w:p>
            <w:pPr>
              <w:spacing w:line="480" w:lineRule="auto"/>
              <w:jc w:val="center"/>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自评得分</w:t>
            </w:r>
          </w:p>
        </w:tc>
        <w:tc>
          <w:tcPr>
            <w:tcW w:w="2245" w:type="dxa"/>
            <w:noWrap w:val="0"/>
            <w:vAlign w:val="bottom"/>
          </w:tcPr>
          <w:p>
            <w:pPr>
              <w:spacing w:line="480" w:lineRule="auto"/>
              <w:jc w:val="center"/>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251"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4217"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126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2245" w:type="dxa"/>
            <w:noWrap w:val="0"/>
            <w:vAlign w:val="center"/>
          </w:tcPr>
          <w:p>
            <w:pPr>
              <w:spacing w:beforeLines="0" w:afterLines="0"/>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251"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4217"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126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224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251"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4217"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126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224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251"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4217"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126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224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251"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4217"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126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224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251"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4217"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126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224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lang w:eastAsia="zh-CN"/>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251"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4217"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126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p>
        </w:tc>
        <w:tc>
          <w:tcPr>
            <w:tcW w:w="2245" w:type="dxa"/>
            <w:noWrap w:val="0"/>
            <w:vAlign w:val="center"/>
          </w:tcPr>
          <w:p>
            <w:pPr>
              <w:spacing w:line="360" w:lineRule="auto"/>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lang w:eastAsia="zh-CN"/>
              </w:rPr>
              <w:t>见投标文件第（）页</w:t>
            </w:r>
          </w:p>
        </w:tc>
      </w:tr>
    </w:tbl>
    <w:p>
      <w:pPr>
        <w:spacing w:line="360" w:lineRule="auto"/>
        <w:jc w:val="left"/>
        <w:rPr>
          <w:rFonts w:hint="eastAsia" w:ascii="宋体" w:hAnsi="宋体" w:eastAsia="宋体" w:cs="宋体"/>
          <w:b w:val="0"/>
          <w:bCs w:val="0"/>
          <w:color w:val="auto"/>
          <w:sz w:val="24"/>
          <w:szCs w:val="32"/>
          <w:highlight w:val="none"/>
        </w:rPr>
      </w:pPr>
      <w:r>
        <w:rPr>
          <w:rFonts w:hint="eastAsia" w:ascii="宋体" w:hAnsi="宋体" w:eastAsia="宋体" w:cs="宋体"/>
          <w:color w:val="auto"/>
          <w:sz w:val="24"/>
          <w:szCs w:val="32"/>
          <w:highlight w:val="none"/>
        </w:rPr>
        <w:t>注：请参照</w:t>
      </w:r>
      <w:r>
        <w:rPr>
          <w:rFonts w:hint="eastAsia" w:ascii="宋体" w:hAnsi="宋体" w:eastAsia="宋体" w:cs="宋体"/>
          <w:b w:val="0"/>
          <w:bCs w:val="0"/>
          <w:color w:val="auto"/>
          <w:sz w:val="24"/>
          <w:szCs w:val="32"/>
          <w:highlight w:val="none"/>
          <w:lang w:eastAsia="zh-CN"/>
        </w:rPr>
        <w:t>“</w:t>
      </w:r>
      <w:r>
        <w:rPr>
          <w:rFonts w:hint="eastAsia" w:ascii="宋体" w:hAnsi="宋体" w:eastAsia="宋体" w:cs="宋体"/>
          <w:b w:val="0"/>
          <w:bCs w:val="0"/>
          <w:color w:val="auto"/>
          <w:sz w:val="24"/>
          <w:szCs w:val="32"/>
          <w:highlight w:val="none"/>
          <w:lang w:val="zh-CN"/>
        </w:rPr>
        <w:t>第四部分</w:t>
      </w:r>
      <w:r>
        <w:rPr>
          <w:rFonts w:hint="eastAsia" w:ascii="宋体" w:hAnsi="宋体" w:eastAsia="宋体" w:cs="宋体"/>
          <w:b w:val="0"/>
          <w:bCs w:val="0"/>
          <w:color w:val="auto"/>
          <w:sz w:val="24"/>
          <w:szCs w:val="32"/>
          <w:highlight w:val="none"/>
        </w:rPr>
        <w:t xml:space="preserve"> </w:t>
      </w:r>
      <w:r>
        <w:rPr>
          <w:rFonts w:hint="eastAsia" w:ascii="宋体" w:hAnsi="宋体" w:eastAsia="宋体" w:cs="宋体"/>
          <w:b w:val="0"/>
          <w:bCs w:val="0"/>
          <w:color w:val="auto"/>
          <w:sz w:val="24"/>
          <w:szCs w:val="32"/>
          <w:highlight w:val="none"/>
          <w:lang w:val="zh-CN"/>
        </w:rPr>
        <w:t>资格、符合性评审和评审标准</w:t>
      </w:r>
      <w:r>
        <w:rPr>
          <w:rFonts w:hint="eastAsia" w:ascii="宋体" w:hAnsi="宋体" w:eastAsia="宋体" w:cs="宋体"/>
          <w:b w:val="0"/>
          <w:bCs w:val="0"/>
          <w:color w:val="auto"/>
          <w:sz w:val="24"/>
          <w:szCs w:val="32"/>
          <w:highlight w:val="none"/>
          <w:lang w:eastAsia="zh-CN"/>
        </w:rPr>
        <w:t>”</w:t>
      </w:r>
      <w:r>
        <w:rPr>
          <w:rFonts w:hint="eastAsia" w:ascii="宋体" w:hAnsi="宋体" w:eastAsia="宋体" w:cs="宋体"/>
          <w:b w:val="0"/>
          <w:bCs w:val="0"/>
          <w:color w:val="auto"/>
          <w:sz w:val="24"/>
          <w:szCs w:val="32"/>
          <w:highlight w:val="none"/>
        </w:rPr>
        <w:t>评审办法的评分细则中的内容逐条填写并注明对应页码。</w:t>
      </w:r>
    </w:p>
    <w:p>
      <w:pPr>
        <w:spacing w:line="360" w:lineRule="auto"/>
        <w:jc w:val="left"/>
        <w:rPr>
          <w:rFonts w:hint="eastAsia" w:ascii="宋体" w:hAnsi="宋体" w:eastAsia="宋体" w:cs="宋体"/>
          <w:color w:val="auto"/>
          <w:szCs w:val="21"/>
          <w:highlight w:val="none"/>
          <w:lang w:eastAsia="zh-CN"/>
        </w:rPr>
      </w:pPr>
    </w:p>
    <w:p>
      <w:pPr>
        <w:spacing w:line="360" w:lineRule="auto"/>
        <w:jc w:val="left"/>
        <w:rPr>
          <w:rFonts w:hint="eastAsia" w:ascii="宋体" w:hAnsi="宋体" w:eastAsia="宋体" w:cs="宋体"/>
          <w:color w:val="auto"/>
          <w:szCs w:val="21"/>
          <w:highlight w:val="none"/>
          <w:lang w:eastAsia="zh-CN"/>
        </w:rPr>
      </w:pPr>
    </w:p>
    <w:p>
      <w:pPr>
        <w:spacing w:line="360" w:lineRule="auto"/>
        <w:jc w:val="left"/>
        <w:rPr>
          <w:rFonts w:hint="eastAsia" w:ascii="宋体" w:hAnsi="宋体" w:eastAsia="宋体" w:cs="宋体"/>
          <w:color w:val="auto"/>
          <w:szCs w:val="21"/>
          <w:highlight w:val="none"/>
          <w:lang w:eastAsia="zh-CN"/>
        </w:rPr>
      </w:pPr>
    </w:p>
    <w:p>
      <w:pPr>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名称（盖单位公章）：</w:t>
      </w:r>
      <w:r>
        <w:rPr>
          <w:rFonts w:hint="eastAsia" w:ascii="宋体" w:hAnsi="宋体" w:eastAsia="宋体" w:cs="宋体"/>
          <w:color w:val="auto"/>
          <w:sz w:val="24"/>
          <w:szCs w:val="24"/>
          <w:highlight w:val="none"/>
          <w:u w:val="single"/>
        </w:rPr>
        <w:t xml:space="preserve">                     </w:t>
      </w:r>
    </w:p>
    <w:p>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日期：     年   月   日</w:t>
      </w:r>
    </w:p>
    <w:p>
      <w:pPr>
        <w:pStyle w:val="20"/>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投标函</w:t>
      </w:r>
    </w:p>
    <w:p>
      <w:pPr>
        <w:spacing w:line="360" w:lineRule="auto"/>
        <w:ind w:firstLine="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（采购人/政府采购代理机构）</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你方组织的</w:t>
      </w:r>
      <w:r>
        <w:rPr>
          <w:rFonts w:hint="eastAsia" w:ascii="宋体" w:hAnsi="宋体" w:cs="宋体"/>
          <w:color w:val="auto"/>
          <w:sz w:val="24"/>
          <w:szCs w:val="24"/>
          <w:highlight w:val="none"/>
          <w:u w:val="single"/>
          <w:lang w:eastAsia="zh-CN"/>
        </w:rPr>
        <w:t>佛山市三水区国睿再生资源回收有限公司国睿冷库基础设施配套项目（第二次）</w:t>
      </w:r>
      <w:r>
        <w:rPr>
          <w:rFonts w:hint="eastAsia" w:ascii="宋体" w:hAnsi="宋体" w:eastAsia="宋体" w:cs="宋体"/>
          <w:color w:val="auto"/>
          <w:sz w:val="24"/>
          <w:szCs w:val="24"/>
          <w:highlight w:val="none"/>
        </w:rPr>
        <w:t>的招标[</w:t>
      </w:r>
      <w:r>
        <w:rPr>
          <w:rFonts w:hint="eastAsia" w:ascii="宋体" w:hAnsi="宋体" w:eastAsia="宋体" w:cs="宋体"/>
          <w:color w:val="auto"/>
          <w:sz w:val="24"/>
          <w:szCs w:val="24"/>
          <w:highlight w:val="none"/>
          <w:u w:val="single"/>
        </w:rPr>
        <w:t>采购项目编号为：</w:t>
      </w:r>
      <w:r>
        <w:rPr>
          <w:rFonts w:hint="eastAsia" w:ascii="宋体" w:hAnsi="宋体" w:cs="宋体"/>
          <w:color w:val="auto"/>
          <w:sz w:val="24"/>
          <w:szCs w:val="24"/>
          <w:highlight w:val="none"/>
          <w:u w:val="single"/>
          <w:lang w:val="en-US" w:eastAsia="zh-CN"/>
        </w:rPr>
        <w:t xml:space="preserve">JXGC-2023（SS）1201、采购包：    </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，我方愿参与投标。</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我方确认收到贵方提供的</w:t>
      </w:r>
      <w:r>
        <w:rPr>
          <w:rFonts w:hint="eastAsia" w:ascii="宋体" w:hAnsi="宋体" w:cs="宋体"/>
          <w:color w:val="auto"/>
          <w:sz w:val="24"/>
          <w:szCs w:val="24"/>
          <w:highlight w:val="none"/>
          <w:u w:val="single"/>
          <w:lang w:eastAsia="zh-CN"/>
        </w:rPr>
        <w:t>佛山市三水区国睿再生资源回收有限公司国睿冷库基础设施配套项目（第二次）</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u w:val="none"/>
          <w:lang w:val="en-US" w:eastAsia="zh-CN"/>
        </w:rPr>
        <w:t>采购包</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的招标文件的全部内容。</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参与投标前已详细研究了招标文件的所有内容，包括澄清、修改文件（如果有）和所有已提供的参考资料以及有关附件，我方完全明白并认为此招标文件没有倾向性，也不存在排斥潜在投标人的内容，我方同意招标文件的相关条款，放弃对招标文件提出误解和质疑的一切权力。</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(投标人名称)</w:t>
      </w:r>
      <w:r>
        <w:rPr>
          <w:rFonts w:hint="eastAsia" w:ascii="宋体" w:hAnsi="宋体" w:eastAsia="宋体" w:cs="宋体"/>
          <w:color w:val="auto"/>
          <w:sz w:val="24"/>
          <w:szCs w:val="24"/>
          <w:highlight w:val="none"/>
        </w:rPr>
        <w:t>作为投标人正式授权</w:t>
      </w:r>
      <w:r>
        <w:rPr>
          <w:rFonts w:hint="eastAsia" w:ascii="宋体" w:hAnsi="宋体" w:eastAsia="宋体" w:cs="宋体"/>
          <w:color w:val="auto"/>
          <w:sz w:val="24"/>
          <w:szCs w:val="24"/>
          <w:highlight w:val="none"/>
          <w:u w:val="single"/>
        </w:rPr>
        <w:t>(授权代表全名,职务)</w:t>
      </w:r>
      <w:r>
        <w:rPr>
          <w:rFonts w:hint="eastAsia" w:ascii="宋体" w:hAnsi="宋体" w:eastAsia="宋体" w:cs="宋体"/>
          <w:color w:val="auto"/>
          <w:sz w:val="24"/>
          <w:szCs w:val="24"/>
          <w:highlight w:val="none"/>
        </w:rPr>
        <w:t>代表我方全权处理有关本投标的一切事宜。</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我方已完全明白招标文件的所有条款要求，并申明如下：</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（一）按招标文件提供的全部货物与相关服务的投标总价详见《开标一览表》。</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本投标文件的有效期为从提交投标（响应）文件的截止之日起90日历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（三）我方明白并同意，在规定的开标日之后，投标有效期之内撤回投标或中标后不按规定与采购人签订合同或不提交履约保证金, 则贵方将不予退还投标保证金。</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（四）我方愿意向贵方提供任何与本项报价有关的数据、情况和技术资料。若贵方需要，我方愿意提供我方作出的一切承诺的证明材料。</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（五）我方理解贵方不一定接受最低投标价或任何贵方可能收到的投标。</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（六）我方如果中标，将保证履行招标文件及其澄清、修改文件（如果有）中的全部责任和义务，按质、按量、按期完成《采购需求》及《合同书》中的全部任务。</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（七）我方作为法律、财务和运作上独立于采购人、采购代理机构的投标人，在此保证所提交的所有文件和全部说明是真实的和正确的。</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（八）我方投标报价已包含应向知识产权所有权人支付的所有相关税费，并保证采购人在中国使用我方提供的货物时，如有第三方提出侵犯其知识产权主张的，责任由我方承担。</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（九）我方接受采购人委托向贵方支付代理服务费，项目总报价已包含代理服务费，如果被确定为中标</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，承诺向贵方足额支付。</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（十）我方与其他投标人不存在单位负责人为同一人或者存在直接控股、管理关系。</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（十一）我方承诺未为本项目提供整体设计、规范编制或者项目管理、监理、检测等服务。</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（十二）我方未被列入法院失信被执行人名单中。</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（十三）我方具备《中华人民共和国政府采购法》第二十二条规定的条件，承诺如下：</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参加本项目政府采购活动前3年内在经营活动中没有以下违法记录，或因违法经营被禁止参加政府采购活动的期限已届满：因违法经营受到刑事处罚或者责令停产停业、吊销许可证或者执照、较大数额罚款等行政处罚。</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（2）我方符合法律、行政法规规定的其他条件。</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以上内容如有虚假或与事实不符的，评标委员会可将我方做无效投标处理，我方愿意承担相应的法律责任。</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（十四）我方对在本函及投标文件中所作的所有承诺承担法律责任。</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（十五）所有与本招标有关的函件请发往下列地址：</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址：__________________邮政编码：__________________</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话：__________________</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真：__________________</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代表姓名：__________________职 务：__________________</w:t>
      </w:r>
    </w:p>
    <w:p>
      <w:pPr>
        <w:spacing w:line="360" w:lineRule="auto"/>
        <w:ind w:firstLine="480"/>
        <w:rPr>
          <w:rFonts w:hint="eastAsia" w:ascii="宋体" w:hAnsi="宋体" w:eastAsia="宋体" w:cs="宋体"/>
          <w:color w:val="auto"/>
          <w:sz w:val="24"/>
          <w:szCs w:val="24"/>
          <w:highlight w:val="none"/>
        </w:rPr>
      </w:pPr>
    </w:p>
    <w:p>
      <w:pPr>
        <w:spacing w:line="360" w:lineRule="auto"/>
        <w:ind w:firstLine="480"/>
        <w:rPr>
          <w:rFonts w:hint="eastAsia" w:ascii="宋体" w:hAnsi="宋体" w:eastAsia="宋体" w:cs="宋体"/>
          <w:color w:val="auto"/>
          <w:sz w:val="24"/>
          <w:szCs w:val="24"/>
          <w:highlight w:val="none"/>
        </w:rPr>
      </w:pPr>
    </w:p>
    <w:p>
      <w:pPr>
        <w:spacing w:line="360" w:lineRule="auto"/>
        <w:ind w:firstLine="480"/>
        <w:rPr>
          <w:rFonts w:hint="eastAsia" w:ascii="宋体" w:hAnsi="宋体" w:eastAsia="宋体" w:cs="宋体"/>
          <w:color w:val="auto"/>
          <w:sz w:val="24"/>
          <w:szCs w:val="24"/>
          <w:highlight w:val="none"/>
        </w:rPr>
      </w:pPr>
    </w:p>
    <w:p>
      <w:pPr>
        <w:spacing w:line="360" w:lineRule="auto"/>
        <w:ind w:firstLine="480"/>
        <w:rPr>
          <w:rFonts w:hint="eastAsia" w:ascii="宋体" w:hAnsi="宋体" w:eastAsia="宋体" w:cs="宋体"/>
          <w:color w:val="auto"/>
          <w:sz w:val="24"/>
          <w:szCs w:val="24"/>
          <w:highlight w:val="none"/>
        </w:rPr>
      </w:pPr>
    </w:p>
    <w:p>
      <w:pPr>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投标人法定代表人（或法定代表人授权代表）签字或盖章：__________________</w:t>
      </w:r>
    </w:p>
    <w:p>
      <w:pPr>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投标人名称（盖章）：__________________</w:t>
      </w:r>
    </w:p>
    <w:p>
      <w:pPr>
        <w:pStyle w:val="46"/>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日期： 年 月 日</w:t>
      </w: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spacing w:after="0" w:line="24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after="6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投标人资格声明函</w:t>
      </w:r>
    </w:p>
    <w:p>
      <w:pPr>
        <w:spacing w:line="360" w:lineRule="auto"/>
        <w:ind w:firstLine="4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（采购人/</w:t>
      </w:r>
      <w:r>
        <w:rPr>
          <w:rFonts w:hint="eastAsia" w:ascii="宋体" w:hAnsi="宋体" w:cs="宋体"/>
          <w:color w:val="auto"/>
          <w:sz w:val="24"/>
          <w:szCs w:val="24"/>
          <w:highlight w:val="none"/>
          <w:u w:val="single"/>
          <w:lang w:eastAsia="zh-CN"/>
        </w:rPr>
        <w:t>采购代理机构</w:t>
      </w:r>
      <w:r>
        <w:rPr>
          <w:rFonts w:hint="eastAsia" w:ascii="宋体" w:hAnsi="宋体" w:eastAsia="宋体" w:cs="宋体"/>
          <w:color w:val="auto"/>
          <w:sz w:val="24"/>
          <w:szCs w:val="24"/>
          <w:highlight w:val="none"/>
          <w:u w:val="single"/>
        </w:rPr>
        <w:t>）</w:t>
      </w:r>
    </w:p>
    <w:p>
      <w:pPr>
        <w:snapToGrid w:val="0"/>
        <w:spacing w:before="120" w:beforeLines="50" w:line="360" w:lineRule="auto"/>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日发</w:t>
      </w:r>
      <w:r>
        <w:rPr>
          <w:rFonts w:hint="eastAsia" w:ascii="宋体" w:hAnsi="宋体" w:cs="宋体"/>
          <w:color w:val="auto"/>
          <w:sz w:val="24"/>
          <w:szCs w:val="24"/>
          <w:highlight w:val="none"/>
          <w:lang w:val="en-US" w:eastAsia="zh-CN"/>
        </w:rPr>
        <w:t>出</w:t>
      </w:r>
      <w:r>
        <w:rPr>
          <w:rFonts w:hint="eastAsia" w:ascii="宋体" w:hAnsi="宋体" w:eastAsia="宋体" w:cs="宋体"/>
          <w:color w:val="auto"/>
          <w:sz w:val="24"/>
          <w:szCs w:val="24"/>
          <w:highlight w:val="none"/>
          <w:u w:val="single"/>
        </w:rPr>
        <w:t xml:space="preserve">                项目</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采购包：  </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投标邀请书</w:t>
      </w:r>
      <w:r>
        <w:rPr>
          <w:rFonts w:hint="eastAsia" w:ascii="宋体" w:hAnsi="宋体" w:eastAsia="宋体" w:cs="宋体"/>
          <w:color w:val="auto"/>
          <w:sz w:val="24"/>
          <w:szCs w:val="24"/>
          <w:highlight w:val="none"/>
        </w:rPr>
        <w:t>，本公司（企业）愿意参加投标，并声明：</w:t>
      </w:r>
    </w:p>
    <w:p>
      <w:pPr>
        <w:pStyle w:val="178"/>
        <w:snapToGrid w:val="0"/>
        <w:spacing w:line="360" w:lineRule="auto"/>
        <w:ind w:firstLine="48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一、本公司（企业）</w:t>
      </w:r>
      <w:r>
        <w:rPr>
          <w:rFonts w:hint="eastAsia" w:ascii="宋体" w:hAnsi="宋体" w:eastAsia="宋体" w:cs="宋体"/>
          <w:bCs/>
          <w:color w:val="auto"/>
          <w:sz w:val="24"/>
          <w:szCs w:val="24"/>
          <w:highlight w:val="none"/>
        </w:rPr>
        <w:t>具备《政府采购法》第二十二条规定的条件：</w:t>
      </w:r>
    </w:p>
    <w:p>
      <w:pPr>
        <w:widowControl/>
        <w:spacing w:line="360" w:lineRule="auto"/>
        <w:ind w:firstLine="3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（一）具有独立承担民事责任的能力；</w:t>
      </w:r>
    </w:p>
    <w:p>
      <w:pPr>
        <w:widowControl/>
        <w:spacing w:line="360" w:lineRule="auto"/>
        <w:ind w:firstLine="3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（二）具有良好的商业信誉和健全的财务会计制度；</w:t>
      </w:r>
    </w:p>
    <w:p>
      <w:pPr>
        <w:widowControl/>
        <w:spacing w:line="360" w:lineRule="auto"/>
        <w:ind w:firstLine="3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（三）具有履行合同所必需的专业技术能力；</w:t>
      </w:r>
    </w:p>
    <w:p>
      <w:pPr>
        <w:widowControl/>
        <w:spacing w:line="360" w:lineRule="auto"/>
        <w:ind w:firstLine="3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（四）有依法缴纳税收和社会保障资金的良好记录；</w:t>
      </w:r>
    </w:p>
    <w:p>
      <w:pPr>
        <w:widowControl/>
        <w:spacing w:line="360" w:lineRule="auto"/>
        <w:ind w:firstLine="3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（五）参加政府采购活动前三年内，在经营活动中没有重大违法记录；</w:t>
      </w:r>
    </w:p>
    <w:p>
      <w:pPr>
        <w:widowControl/>
        <w:spacing w:line="360" w:lineRule="auto"/>
        <w:ind w:firstLine="3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（六）法律、行政法规规定的其他条件。</w:t>
      </w:r>
    </w:p>
    <w:p>
      <w:pPr>
        <w:pStyle w:val="178"/>
        <w:snapToGrid w:val="0"/>
        <w:spacing w:line="360" w:lineRule="auto"/>
        <w:ind w:left="424" w:firstLine="0" w:firstLineChars="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二、本公司（企业）如为采购项目提供整体设计、规范编制或者项目管理、监理、检测等服务的供应商，不再参加该采购项目的其他采购活动。</w:t>
      </w:r>
      <w:r>
        <w:rPr>
          <w:rFonts w:hint="eastAsia" w:ascii="宋体" w:hAnsi="宋体" w:eastAsia="宋体" w:cs="宋体"/>
          <w:color w:val="auto"/>
          <w:sz w:val="24"/>
          <w:szCs w:val="24"/>
          <w:highlight w:val="none"/>
        </w:rPr>
        <w:t>否则，由此所造成的损失、不良后果及法律责任，一律由我公司（企业）承担。</w:t>
      </w:r>
    </w:p>
    <w:p>
      <w:pPr>
        <w:pStyle w:val="178"/>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本公司（企业）的法定代表人或单位负责人与本项目其他投标人的法定代表人或单位负责人不为同一人且与其他投标人之间不存在直接控股、管理关系。否则，由此所造成的损失、不良后果及法律责任，一律由我公司（企业）承担。</w:t>
      </w:r>
    </w:p>
    <w:p>
      <w:pPr>
        <w:snapToGrid w:val="0"/>
        <w:spacing w:line="360" w:lineRule="auto"/>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本公司（企业）承诺在本次采购活动中，符合本项目招标文件要求的资格条件，如有违法、违规、弄虚作假行为，所造成的损失、不良后果及法律责任，一律由我公司（企业）承担。</w:t>
      </w:r>
    </w:p>
    <w:p>
      <w:pPr>
        <w:pStyle w:val="2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2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p>
    <w:p>
      <w:pPr>
        <w:tabs>
          <w:tab w:val="left" w:pos="426"/>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1.加盖公章的</w:t>
      </w:r>
      <w:r>
        <w:rPr>
          <w:rFonts w:hint="eastAsia" w:ascii="宋体" w:hAnsi="宋体" w:eastAsia="宋体" w:cs="宋体"/>
          <w:i w:val="0"/>
          <w:iCs w:val="0"/>
          <w:caps w:val="0"/>
          <w:color w:val="auto"/>
          <w:spacing w:val="0"/>
          <w:sz w:val="24"/>
          <w:szCs w:val="24"/>
          <w:highlight w:val="none"/>
          <w:shd w:val="clear" w:color="auto" w:fill="FFFFFF"/>
        </w:rPr>
        <w:t>有效的营业执照（或事业法人登记证或身份证等相关证明）</w:t>
      </w:r>
      <w:r>
        <w:rPr>
          <w:rFonts w:hint="eastAsia" w:ascii="宋体" w:hAnsi="宋体" w:eastAsia="宋体" w:cs="宋体"/>
          <w:i w:val="0"/>
          <w:iCs w:val="0"/>
          <w:caps w:val="0"/>
          <w:color w:val="auto"/>
          <w:spacing w:val="0"/>
          <w:sz w:val="24"/>
          <w:szCs w:val="24"/>
          <w:highlight w:val="none"/>
          <w:shd w:val="clear" w:color="auto" w:fill="FFFFFF"/>
          <w:lang w:eastAsia="zh-CN"/>
        </w:rPr>
        <w:t>复印件</w:t>
      </w:r>
      <w:r>
        <w:rPr>
          <w:rFonts w:hint="eastAsia" w:ascii="宋体" w:hAnsi="宋体" w:eastAsia="宋体" w:cs="宋体"/>
          <w:bCs/>
          <w:color w:val="auto"/>
          <w:sz w:val="24"/>
          <w:szCs w:val="24"/>
          <w:highlight w:val="none"/>
        </w:rPr>
        <w:t>。</w:t>
      </w:r>
    </w:p>
    <w:p>
      <w:pPr>
        <w:tabs>
          <w:tab w:val="left" w:pos="426"/>
        </w:tabs>
        <w:adjustRightInd w:val="0"/>
        <w:snapToGrid w:val="0"/>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2.</w:t>
      </w:r>
      <w:r>
        <w:rPr>
          <w:rFonts w:hint="eastAsia" w:ascii="宋体" w:hAnsi="宋体" w:cs="宋体"/>
          <w:b w:val="0"/>
          <w:bCs w:val="0"/>
          <w:color w:val="auto"/>
          <w:sz w:val="24"/>
          <w:highlight w:val="none"/>
          <w:shd w:val="clear" w:color="auto" w:fill="FFFFFF"/>
          <w:lang w:eastAsia="zh-CN"/>
        </w:rPr>
        <w:t>提供2022年度或2023年度的财务状况报告，如为2024年新成立的公司，应提供成立至投标文件递交截止时间止任意一个月的公司财务状况报告，或提供银行出具的资信证明。</w:t>
      </w:r>
    </w:p>
    <w:p>
      <w:pPr>
        <w:tabs>
          <w:tab w:val="left" w:pos="426"/>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cs="宋体"/>
          <w:color w:val="auto"/>
          <w:sz w:val="24"/>
          <w:highlight w:val="none"/>
          <w:shd w:val="clear" w:color="auto" w:fill="FFFFFF"/>
          <w:lang w:eastAsia="zh-CN"/>
        </w:rPr>
        <w:t>提供扣除投标邀请书发出当月往前顺推6个月内任意一个月依法缴纳税收和社会保障资金的相关材料。如依法免税或不需要缴纳社会保障资金的，提供相应证明材料</w:t>
      </w:r>
      <w:r>
        <w:rPr>
          <w:rFonts w:hint="eastAsia" w:ascii="宋体" w:hAnsi="宋体" w:eastAsia="宋体" w:cs="宋体"/>
          <w:color w:val="auto"/>
          <w:sz w:val="24"/>
          <w:highlight w:val="none"/>
          <w:shd w:val="clear" w:color="auto" w:fill="FFFFFF"/>
        </w:rPr>
        <w:t>）</w:t>
      </w:r>
    </w:p>
    <w:p>
      <w:pPr>
        <w:tabs>
          <w:tab w:val="left" w:pos="426"/>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i w:val="0"/>
          <w:iCs w:val="0"/>
          <w:caps w:val="0"/>
          <w:color w:val="auto"/>
          <w:spacing w:val="0"/>
          <w:sz w:val="24"/>
          <w:szCs w:val="24"/>
          <w:highlight w:val="none"/>
          <w:shd w:val="clear" w:color="auto" w:fill="FFFFFF"/>
        </w:rPr>
        <w:t>履行合同所必需的专业技术能力：按投标文件格式填报</w:t>
      </w:r>
      <w:r>
        <w:rPr>
          <w:rFonts w:hint="eastAsia" w:ascii="宋体" w:hAnsi="宋体" w:cs="宋体"/>
          <w:i w:val="0"/>
          <w:iCs w:val="0"/>
          <w:caps w:val="0"/>
          <w:color w:val="auto"/>
          <w:spacing w:val="0"/>
          <w:sz w:val="24"/>
          <w:szCs w:val="24"/>
          <w:highlight w:val="none"/>
          <w:shd w:val="clear" w:color="auto" w:fill="FFFFFF"/>
          <w:lang w:eastAsia="zh-CN"/>
        </w:rPr>
        <w:t>的</w:t>
      </w:r>
      <w:r>
        <w:rPr>
          <w:rFonts w:hint="eastAsia" w:ascii="宋体" w:hAnsi="宋体" w:eastAsia="宋体" w:cs="宋体"/>
          <w:i w:val="0"/>
          <w:iCs w:val="0"/>
          <w:caps w:val="0"/>
          <w:color w:val="auto"/>
          <w:spacing w:val="0"/>
          <w:sz w:val="24"/>
          <w:szCs w:val="24"/>
          <w:highlight w:val="none"/>
          <w:shd w:val="clear" w:color="auto" w:fill="FFFFFF"/>
        </w:rPr>
        <w:t>专业技术能力情况</w:t>
      </w:r>
      <w:r>
        <w:rPr>
          <w:rFonts w:hint="eastAsia" w:ascii="宋体" w:hAnsi="宋体" w:eastAsia="宋体" w:cs="宋体"/>
          <w:bCs/>
          <w:color w:val="auto"/>
          <w:sz w:val="24"/>
          <w:szCs w:val="24"/>
          <w:highlight w:val="none"/>
        </w:rPr>
        <w:t>。</w:t>
      </w:r>
    </w:p>
    <w:p>
      <w:pPr>
        <w:pStyle w:val="14"/>
        <w:rPr>
          <w:rFonts w:hint="eastAsia" w:ascii="宋体" w:hAnsi="宋体" w:eastAsia="宋体" w:cs="宋体"/>
          <w:color w:val="auto"/>
          <w:highlight w:val="none"/>
          <w:lang w:val="en-US" w:eastAsia="zh-CN"/>
        </w:rPr>
      </w:pPr>
    </w:p>
    <w:p>
      <w:pPr>
        <w:spacing w:line="360" w:lineRule="auto"/>
        <w:ind w:firstLine="440"/>
        <w:rPr>
          <w:rFonts w:hint="eastAsia" w:ascii="宋体" w:hAnsi="宋体" w:eastAsia="宋体" w:cs="宋体"/>
          <w:color w:val="auto"/>
          <w:sz w:val="24"/>
          <w:szCs w:val="24"/>
          <w:highlight w:val="none"/>
        </w:rPr>
      </w:pPr>
    </w:p>
    <w:p>
      <w:pPr>
        <w:spacing w:line="360" w:lineRule="auto"/>
        <w:ind w:firstLine="4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pacing w:line="360" w:lineRule="auto"/>
        <w:ind w:firstLine="44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投标人法定代表人（或法定代表人授权代表）签字： </w:t>
      </w:r>
      <w:r>
        <w:rPr>
          <w:rFonts w:hint="eastAsia" w:ascii="宋体" w:hAnsi="宋体" w:eastAsia="宋体" w:cs="宋体"/>
          <w:color w:val="auto"/>
          <w:sz w:val="24"/>
          <w:szCs w:val="24"/>
          <w:highlight w:val="none"/>
          <w:u w:val="single"/>
        </w:rPr>
        <w:t xml:space="preserve">                  </w:t>
      </w:r>
    </w:p>
    <w:p>
      <w:pPr>
        <w:spacing w:line="360" w:lineRule="auto"/>
        <w:ind w:firstLine="4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jc w:val="center"/>
        <w:rPr>
          <w:rFonts w:hint="eastAsia" w:ascii="宋体" w:hAnsi="宋体" w:eastAsia="宋体" w:cs="宋体"/>
          <w:b/>
          <w:bCs/>
          <w:i w:val="0"/>
          <w:iCs w:val="0"/>
          <w:caps w:val="0"/>
          <w:color w:val="auto"/>
          <w:spacing w:val="0"/>
          <w:sz w:val="24"/>
          <w:szCs w:val="24"/>
          <w:highlight w:val="none"/>
          <w:shd w:val="clear" w:color="auto" w:fill="FFFFFF"/>
          <w:lang w:val="en-US" w:eastAsia="zh-CN"/>
        </w:rPr>
      </w:pPr>
      <w:r>
        <w:rPr>
          <w:rFonts w:hint="eastAsia" w:ascii="宋体" w:hAnsi="宋体" w:eastAsia="宋体" w:cs="宋体"/>
          <w:b/>
          <w:bCs/>
          <w:i w:val="0"/>
          <w:iCs w:val="0"/>
          <w:caps w:val="0"/>
          <w:color w:val="auto"/>
          <w:spacing w:val="0"/>
          <w:sz w:val="24"/>
          <w:szCs w:val="24"/>
          <w:highlight w:val="none"/>
          <w:shd w:val="clear" w:color="auto" w:fill="FFFFFF"/>
          <w:lang w:val="en-US" w:eastAsia="zh-CN"/>
        </w:rPr>
        <w:t xml:space="preserve"> </w:t>
      </w:r>
    </w:p>
    <w:p>
      <w:pPr>
        <w:jc w:val="left"/>
        <w:rPr>
          <w:rFonts w:hint="eastAsia" w:ascii="宋体" w:hAnsi="宋体" w:eastAsia="宋体" w:cs="宋体"/>
          <w:b/>
          <w:bCs/>
          <w:i w:val="0"/>
          <w:iCs w:val="0"/>
          <w:caps w:val="0"/>
          <w:color w:val="auto"/>
          <w:spacing w:val="0"/>
          <w:sz w:val="24"/>
          <w:szCs w:val="24"/>
          <w:highlight w:val="none"/>
          <w:shd w:val="clear" w:color="auto" w:fill="FFFFFF"/>
          <w:lang w:val="en-US" w:eastAsia="zh-CN"/>
        </w:rPr>
      </w:pPr>
      <w:r>
        <w:rPr>
          <w:rFonts w:hint="eastAsia" w:ascii="宋体" w:hAnsi="宋体" w:eastAsia="宋体" w:cs="宋体"/>
          <w:b/>
          <w:bCs/>
          <w:i w:val="0"/>
          <w:iCs w:val="0"/>
          <w:caps w:val="0"/>
          <w:color w:val="auto"/>
          <w:spacing w:val="0"/>
          <w:sz w:val="24"/>
          <w:szCs w:val="24"/>
          <w:highlight w:val="none"/>
          <w:shd w:val="clear" w:color="auto" w:fill="FFFFFF"/>
          <w:lang w:val="en-US" w:eastAsia="zh-CN"/>
        </w:rPr>
        <w:br w:type="page"/>
      </w:r>
    </w:p>
    <w:p>
      <w:pPr>
        <w:jc w:val="center"/>
        <w:rPr>
          <w:rFonts w:hint="eastAsia" w:ascii="宋体" w:hAnsi="宋体" w:eastAsia="宋体" w:cs="宋体"/>
          <w:b/>
          <w:bCs/>
          <w:color w:val="auto"/>
          <w:sz w:val="24"/>
          <w:szCs w:val="24"/>
          <w:highlight w:val="none"/>
        </w:rPr>
      </w:pPr>
      <w:r>
        <w:rPr>
          <w:rFonts w:hint="eastAsia" w:ascii="宋体" w:hAnsi="宋体" w:eastAsia="宋体" w:cs="宋体"/>
          <w:b/>
          <w:bCs/>
          <w:i w:val="0"/>
          <w:iCs w:val="0"/>
          <w:caps w:val="0"/>
          <w:color w:val="auto"/>
          <w:spacing w:val="0"/>
          <w:sz w:val="24"/>
          <w:szCs w:val="24"/>
          <w:highlight w:val="none"/>
          <w:shd w:val="clear" w:color="auto" w:fill="FFFFFF"/>
        </w:rPr>
        <w:t>履行合同所必需的设备和专业技术能力</w:t>
      </w:r>
    </w:p>
    <w:p>
      <w:pPr>
        <w:pStyle w:val="14"/>
        <w:rPr>
          <w:rFonts w:hint="eastAsia" w:ascii="宋体" w:hAnsi="宋体" w:eastAsia="宋体" w:cs="宋体"/>
          <w:color w:val="auto"/>
          <w:sz w:val="24"/>
          <w:szCs w:val="24"/>
          <w:highlight w:val="none"/>
        </w:rPr>
      </w:pP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设备及专业技术能力情况表</w:t>
      </w:r>
    </w:p>
    <w:tbl>
      <w:tblPr>
        <w:tblStyle w:val="54"/>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96"/>
        <w:gridCol w:w="3356"/>
        <w:gridCol w:w="2076"/>
        <w:gridCol w:w="20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04" w:type="dxa"/>
            <w:gridSpan w:val="4"/>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我单位为本项目实施提供以下设备和专业技术人员：</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9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5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设备名称和专业技术人员</w:t>
            </w:r>
          </w:p>
        </w:tc>
        <w:tc>
          <w:tcPr>
            <w:tcW w:w="207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数量及单位</w:t>
            </w:r>
          </w:p>
        </w:tc>
        <w:tc>
          <w:tcPr>
            <w:tcW w:w="207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96"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56" w:type="dxa"/>
            <w:noWrap w:val="0"/>
            <w:vAlign w:val="top"/>
          </w:tcPr>
          <w:p>
            <w:pPr>
              <w:spacing w:line="360" w:lineRule="auto"/>
              <w:jc w:val="center"/>
              <w:rPr>
                <w:rFonts w:hint="eastAsia" w:ascii="宋体" w:hAnsi="宋体" w:eastAsia="宋体" w:cs="宋体"/>
                <w:color w:val="auto"/>
                <w:sz w:val="24"/>
                <w:szCs w:val="24"/>
                <w:highlight w:val="none"/>
              </w:rPr>
            </w:pPr>
          </w:p>
        </w:tc>
        <w:tc>
          <w:tcPr>
            <w:tcW w:w="2076" w:type="dxa"/>
            <w:noWrap w:val="0"/>
            <w:vAlign w:val="top"/>
          </w:tcPr>
          <w:p>
            <w:pPr>
              <w:spacing w:line="360" w:lineRule="auto"/>
              <w:jc w:val="center"/>
              <w:rPr>
                <w:rFonts w:hint="eastAsia" w:ascii="宋体" w:hAnsi="宋体" w:eastAsia="宋体" w:cs="宋体"/>
                <w:color w:val="auto"/>
                <w:sz w:val="24"/>
                <w:szCs w:val="24"/>
                <w:highlight w:val="none"/>
              </w:rPr>
            </w:pPr>
          </w:p>
        </w:tc>
        <w:tc>
          <w:tcPr>
            <w:tcW w:w="2076"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96"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356" w:type="dxa"/>
            <w:noWrap w:val="0"/>
            <w:vAlign w:val="top"/>
          </w:tcPr>
          <w:p>
            <w:pPr>
              <w:spacing w:line="360" w:lineRule="auto"/>
              <w:jc w:val="center"/>
              <w:rPr>
                <w:rFonts w:hint="eastAsia" w:ascii="宋体" w:hAnsi="宋体" w:eastAsia="宋体" w:cs="宋体"/>
                <w:color w:val="auto"/>
                <w:sz w:val="24"/>
                <w:szCs w:val="24"/>
                <w:highlight w:val="none"/>
              </w:rPr>
            </w:pPr>
          </w:p>
        </w:tc>
        <w:tc>
          <w:tcPr>
            <w:tcW w:w="2076" w:type="dxa"/>
            <w:noWrap w:val="0"/>
            <w:vAlign w:val="top"/>
          </w:tcPr>
          <w:p>
            <w:pPr>
              <w:spacing w:line="360" w:lineRule="auto"/>
              <w:jc w:val="center"/>
              <w:rPr>
                <w:rFonts w:hint="eastAsia" w:ascii="宋体" w:hAnsi="宋体" w:eastAsia="宋体" w:cs="宋体"/>
                <w:color w:val="auto"/>
                <w:sz w:val="24"/>
                <w:szCs w:val="24"/>
                <w:highlight w:val="none"/>
              </w:rPr>
            </w:pPr>
          </w:p>
        </w:tc>
        <w:tc>
          <w:tcPr>
            <w:tcW w:w="2076"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96"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356" w:type="dxa"/>
            <w:noWrap w:val="0"/>
            <w:vAlign w:val="top"/>
          </w:tcPr>
          <w:p>
            <w:pPr>
              <w:spacing w:line="360" w:lineRule="auto"/>
              <w:jc w:val="center"/>
              <w:rPr>
                <w:rFonts w:hint="eastAsia" w:ascii="宋体" w:hAnsi="宋体" w:eastAsia="宋体" w:cs="宋体"/>
                <w:color w:val="auto"/>
                <w:sz w:val="24"/>
                <w:szCs w:val="24"/>
                <w:highlight w:val="none"/>
              </w:rPr>
            </w:pPr>
          </w:p>
        </w:tc>
        <w:tc>
          <w:tcPr>
            <w:tcW w:w="2076" w:type="dxa"/>
            <w:noWrap w:val="0"/>
            <w:vAlign w:val="top"/>
          </w:tcPr>
          <w:p>
            <w:pPr>
              <w:spacing w:line="360" w:lineRule="auto"/>
              <w:jc w:val="center"/>
              <w:rPr>
                <w:rFonts w:hint="eastAsia" w:ascii="宋体" w:hAnsi="宋体" w:eastAsia="宋体" w:cs="宋体"/>
                <w:color w:val="auto"/>
                <w:sz w:val="24"/>
                <w:szCs w:val="24"/>
                <w:highlight w:val="none"/>
              </w:rPr>
            </w:pPr>
          </w:p>
        </w:tc>
        <w:tc>
          <w:tcPr>
            <w:tcW w:w="2076"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96"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3356" w:type="dxa"/>
            <w:noWrap w:val="0"/>
            <w:vAlign w:val="top"/>
          </w:tcPr>
          <w:p>
            <w:pPr>
              <w:spacing w:line="360" w:lineRule="auto"/>
              <w:jc w:val="center"/>
              <w:rPr>
                <w:rFonts w:hint="eastAsia" w:ascii="宋体" w:hAnsi="宋体" w:eastAsia="宋体" w:cs="宋体"/>
                <w:color w:val="auto"/>
                <w:sz w:val="24"/>
                <w:szCs w:val="24"/>
                <w:highlight w:val="none"/>
              </w:rPr>
            </w:pPr>
          </w:p>
        </w:tc>
        <w:tc>
          <w:tcPr>
            <w:tcW w:w="2076" w:type="dxa"/>
            <w:noWrap w:val="0"/>
            <w:vAlign w:val="top"/>
          </w:tcPr>
          <w:p>
            <w:pPr>
              <w:spacing w:line="360" w:lineRule="auto"/>
              <w:jc w:val="center"/>
              <w:rPr>
                <w:rFonts w:hint="eastAsia" w:ascii="宋体" w:hAnsi="宋体" w:eastAsia="宋体" w:cs="宋体"/>
                <w:color w:val="auto"/>
                <w:sz w:val="24"/>
                <w:szCs w:val="24"/>
                <w:highlight w:val="none"/>
              </w:rPr>
            </w:pPr>
          </w:p>
        </w:tc>
        <w:tc>
          <w:tcPr>
            <w:tcW w:w="2076" w:type="dxa"/>
            <w:noWrap w:val="0"/>
            <w:vAlign w:val="top"/>
          </w:tcPr>
          <w:p>
            <w:pPr>
              <w:spacing w:line="360" w:lineRule="auto"/>
              <w:jc w:val="center"/>
              <w:rPr>
                <w:rFonts w:hint="eastAsia" w:ascii="宋体" w:hAnsi="宋体" w:eastAsia="宋体" w:cs="宋体"/>
                <w:color w:val="auto"/>
                <w:sz w:val="24"/>
                <w:szCs w:val="24"/>
                <w:highlight w:val="none"/>
              </w:rPr>
            </w:pPr>
          </w:p>
        </w:tc>
      </w:tr>
    </w:tbl>
    <w:p>
      <w:pPr>
        <w:pStyle w:val="14"/>
        <w:rPr>
          <w:rFonts w:hint="eastAsia" w:ascii="宋体" w:hAnsi="宋体" w:eastAsia="宋体" w:cs="宋体"/>
          <w:color w:val="auto"/>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spacing w:line="360" w:lineRule="auto"/>
        <w:ind w:firstLine="44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法定代表人资格证明书</w:t>
      </w: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采购人/采购代理机构</w:t>
      </w:r>
      <w:r>
        <w:rPr>
          <w:rFonts w:hint="eastAsia" w:ascii="宋体" w:hAnsi="宋体" w:eastAsia="宋体" w:cs="宋体"/>
          <w:color w:val="auto"/>
          <w:sz w:val="24"/>
          <w:szCs w:val="24"/>
          <w:highlight w:val="none"/>
        </w:rPr>
        <w:t>：</w:t>
      </w:r>
    </w:p>
    <w:p>
      <w:pPr>
        <w:spacing w:after="60" w:line="360" w:lineRule="auto"/>
        <w:rPr>
          <w:rFonts w:hint="eastAsia" w:ascii="宋体" w:hAnsi="宋体" w:eastAsia="宋体" w:cs="宋体"/>
          <w:color w:val="auto"/>
          <w:sz w:val="24"/>
          <w:szCs w:val="24"/>
          <w:highlight w:val="none"/>
        </w:rPr>
      </w:pP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同志，现任我单位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职务，为法定代表人，特此证明。</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签发日期：           单位：           （盖章）</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附：代表人性别：            年龄：           身份证号码：</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营业执照号码：                       经济性质：</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主营（产）：</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兼营（产）：</w:t>
      </w: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说明：1.法定代表人为企业事业单位、国家机关、社会团体的主要行政负责人。</w:t>
      </w: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2.内容必须填写真实、清楚、涂改无效。</w:t>
      </w:r>
    </w:p>
    <w:p>
      <w:pPr>
        <w:spacing w:after="60"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3.将此证明书提交对方作为合同附件。</w:t>
      </w:r>
    </w:p>
    <w:p>
      <w:pPr>
        <w:spacing w:after="60" w:line="360" w:lineRule="auto"/>
        <w:rPr>
          <w:rFonts w:hint="eastAsia" w:ascii="宋体" w:hAnsi="宋体" w:eastAsia="宋体" w:cs="宋体"/>
          <w:color w:val="auto"/>
          <w:sz w:val="24"/>
          <w:szCs w:val="24"/>
          <w:highlight w:val="none"/>
        </w:rPr>
      </w:pPr>
    </w:p>
    <w:p>
      <w:pPr>
        <w:spacing w:after="60" w:line="360" w:lineRule="auto"/>
        <w:rPr>
          <w:rFonts w:hint="eastAsia" w:ascii="宋体" w:hAnsi="宋体" w:eastAsia="宋体" w:cs="宋体"/>
          <w:color w:val="auto"/>
          <w:sz w:val="24"/>
          <w:szCs w:val="24"/>
          <w:highlight w:val="none"/>
        </w:rPr>
      </w:pPr>
    </w:p>
    <w:p>
      <w:pPr>
        <w:spacing w:after="60"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 xml:space="preserve"> (请投标人务必提供本附件)</w:t>
      </w:r>
    </w:p>
    <w:p>
      <w:pPr>
        <w:spacing w:after="60"/>
        <w:rPr>
          <w:rFonts w:hint="eastAsia" w:ascii="宋体" w:hAnsi="宋体" w:eastAsia="宋体" w:cs="宋体"/>
          <w:b/>
          <w:color w:val="auto"/>
          <w:sz w:val="24"/>
          <w:szCs w:val="24"/>
          <w:highlight w:val="none"/>
        </w:rPr>
      </w:pPr>
    </w:p>
    <w:p>
      <w:pPr>
        <w:spacing w:after="6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20320</wp:posOffset>
                </wp:positionV>
                <wp:extent cx="2333625" cy="1584325"/>
                <wp:effectExtent l="4445" t="4445" r="5080" b="11430"/>
                <wp:wrapNone/>
                <wp:docPr id="1" name="流程图: 可选过程 1"/>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after="60"/>
                              <w:jc w:val="center"/>
                              <w:rPr>
                                <w:rFonts w:hint="eastAsia" w:hAnsi="宋体"/>
                                <w:szCs w:val="21"/>
                              </w:rPr>
                            </w:pPr>
                          </w:p>
                          <w:p>
                            <w:pPr>
                              <w:spacing w:after="60"/>
                              <w:jc w:val="center"/>
                              <w:rPr>
                                <w:rFonts w:hint="eastAsia" w:hAnsi="宋体"/>
                                <w:szCs w:val="21"/>
                              </w:rPr>
                            </w:pPr>
                          </w:p>
                          <w:p>
                            <w:pPr>
                              <w:spacing w:after="60"/>
                              <w:jc w:val="center"/>
                              <w:rPr>
                                <w:rFonts w:hint="eastAsia" w:hAnsi="宋体"/>
                                <w:szCs w:val="21"/>
                              </w:rPr>
                            </w:pPr>
                          </w:p>
                          <w:p>
                            <w:pPr>
                              <w:spacing w:after="60"/>
                              <w:jc w:val="center"/>
                              <w:rPr>
                                <w:rFonts w:hint="eastAsia"/>
                                <w:szCs w:val="21"/>
                              </w:rPr>
                            </w:pPr>
                            <w:r>
                              <w:rPr>
                                <w:rFonts w:hint="eastAsia" w:hAnsi="宋体"/>
                                <w:szCs w:val="21"/>
                              </w:rPr>
                              <w:t>法定代表人身份证复印件（正反面）</w:t>
                            </w:r>
                          </w:p>
                        </w:txbxContent>
                      </wps:txbx>
                      <wps:bodyPr wrap="square" upright="1"/>
                    </wps:wsp>
                  </a:graphicData>
                </a:graphic>
              </wp:anchor>
            </w:drawing>
          </mc:Choice>
          <mc:Fallback>
            <w:pict>
              <v:shape id="_x0000_s1026" o:spid="_x0000_s1026" o:spt="176" type="#_x0000_t176" style="position:absolute;left:0pt;margin-left:127.5pt;margin-top:1.6pt;height:124.75pt;width:183.75pt;z-index:251659264;mso-width-relative:page;mso-height-relative:page;" fillcolor="#FFFFFF" filled="t" stroked="t" coordsize="21600,21600" o:gfxdata="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Wcr9rXAAAACQEAAA8AAAAAAAAAAQAgAAAAIgAAAGRycy9kb3ducmV2&#10;LnhtbFBLAQIUABQAAAAIAIdO4kAFL3p5NgIAAGwEAAAOAAAAAAAAAAEAIAAAACYBAABkcnMvZTJv&#10;RG9jLnhtbFBLBQYAAAAABgAGAFkBAADOBQAAAAA=&#10;">
                <v:fill on="t" focussize="0,0"/>
                <v:stroke color="#000000" joinstyle="miter"/>
                <v:imagedata o:title=""/>
                <o:lock v:ext="edit" aspectratio="f"/>
                <v:textbox>
                  <w:txbxContent>
                    <w:p>
                      <w:pPr>
                        <w:spacing w:after="60"/>
                        <w:jc w:val="center"/>
                        <w:rPr>
                          <w:rFonts w:hint="eastAsia" w:hAnsi="宋体"/>
                          <w:szCs w:val="21"/>
                        </w:rPr>
                      </w:pPr>
                    </w:p>
                    <w:p>
                      <w:pPr>
                        <w:spacing w:after="60"/>
                        <w:jc w:val="center"/>
                        <w:rPr>
                          <w:rFonts w:hint="eastAsia" w:hAnsi="宋体"/>
                          <w:szCs w:val="21"/>
                        </w:rPr>
                      </w:pPr>
                    </w:p>
                    <w:p>
                      <w:pPr>
                        <w:spacing w:after="60"/>
                        <w:jc w:val="center"/>
                        <w:rPr>
                          <w:rFonts w:hint="eastAsia" w:hAnsi="宋体"/>
                          <w:szCs w:val="21"/>
                        </w:rPr>
                      </w:pPr>
                    </w:p>
                    <w:p>
                      <w:pPr>
                        <w:spacing w:after="60"/>
                        <w:jc w:val="center"/>
                        <w:rPr>
                          <w:rFonts w:hint="eastAsia"/>
                          <w:szCs w:val="21"/>
                        </w:rPr>
                      </w:pPr>
                      <w:r>
                        <w:rPr>
                          <w:rFonts w:hint="eastAsia" w:hAnsi="宋体"/>
                          <w:szCs w:val="21"/>
                        </w:rPr>
                        <w:t>法定代表人身份证复印件（正反面）</w:t>
                      </w:r>
                    </w:p>
                  </w:txbxContent>
                </v:textbox>
              </v:shape>
            </w:pict>
          </mc:Fallback>
        </mc:AlternateContent>
      </w:r>
    </w:p>
    <w:p>
      <w:pPr>
        <w:spacing w:after="60"/>
        <w:rPr>
          <w:rFonts w:hint="eastAsia" w:ascii="宋体" w:hAnsi="宋体" w:eastAsia="宋体" w:cs="宋体"/>
          <w:b/>
          <w:color w:val="auto"/>
          <w:sz w:val="24"/>
          <w:szCs w:val="24"/>
          <w:highlight w:val="none"/>
        </w:rPr>
      </w:pPr>
    </w:p>
    <w:p>
      <w:pPr>
        <w:spacing w:after="60"/>
        <w:rPr>
          <w:rFonts w:hint="eastAsia" w:ascii="宋体" w:hAnsi="宋体" w:eastAsia="宋体" w:cs="宋体"/>
          <w:b/>
          <w:color w:val="auto"/>
          <w:sz w:val="24"/>
          <w:szCs w:val="24"/>
          <w:highlight w:val="none"/>
        </w:rPr>
      </w:pPr>
    </w:p>
    <w:p>
      <w:pPr>
        <w:spacing w:after="60"/>
        <w:rPr>
          <w:rFonts w:hint="eastAsia" w:ascii="宋体" w:hAnsi="宋体" w:eastAsia="宋体" w:cs="宋体"/>
          <w:b/>
          <w:color w:val="auto"/>
          <w:sz w:val="24"/>
          <w:szCs w:val="24"/>
          <w:highlight w:val="none"/>
        </w:rPr>
      </w:pPr>
    </w:p>
    <w:p>
      <w:pPr>
        <w:tabs>
          <w:tab w:val="left" w:pos="654"/>
          <w:tab w:val="left" w:pos="1734"/>
          <w:tab w:val="left" w:pos="2814"/>
          <w:tab w:val="left" w:pos="3894"/>
          <w:tab w:val="left" w:pos="5334"/>
          <w:tab w:val="left" w:pos="6414"/>
          <w:tab w:val="left" w:pos="7254"/>
          <w:tab w:val="left" w:pos="8574"/>
          <w:tab w:val="left" w:pos="9654"/>
        </w:tabs>
        <w:spacing w:after="60"/>
        <w:rPr>
          <w:rFonts w:hint="eastAsia" w:ascii="宋体" w:hAnsi="宋体" w:eastAsia="宋体" w:cs="宋体"/>
          <w:color w:val="auto"/>
          <w:sz w:val="24"/>
          <w:szCs w:val="24"/>
          <w:highlight w:val="none"/>
        </w:rPr>
      </w:pPr>
    </w:p>
    <w:p>
      <w:pPr>
        <w:tabs>
          <w:tab w:val="left" w:pos="654"/>
          <w:tab w:val="left" w:pos="1734"/>
          <w:tab w:val="left" w:pos="2814"/>
          <w:tab w:val="left" w:pos="3894"/>
          <w:tab w:val="left" w:pos="5334"/>
          <w:tab w:val="left" w:pos="6414"/>
          <w:tab w:val="left" w:pos="7254"/>
          <w:tab w:val="left" w:pos="8574"/>
          <w:tab w:val="left" w:pos="9654"/>
        </w:tabs>
        <w:spacing w:after="60"/>
        <w:rPr>
          <w:rFonts w:hint="eastAsia" w:ascii="宋体" w:hAnsi="宋体" w:eastAsia="宋体" w:cs="宋体"/>
          <w:color w:val="auto"/>
          <w:sz w:val="24"/>
          <w:szCs w:val="24"/>
          <w:highlight w:val="none"/>
        </w:rPr>
      </w:pPr>
    </w:p>
    <w:p>
      <w:pPr>
        <w:spacing w:after="60" w:line="480" w:lineRule="exact"/>
        <w:ind w:left="-155" w:leftChars="-7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szCs w:val="24"/>
          <w:highlight w:val="none"/>
        </w:rPr>
        <w:t>法定代表人授权委托书</w:t>
      </w:r>
    </w:p>
    <w:p>
      <w:pPr>
        <w:spacing w:after="60" w:line="480" w:lineRule="exact"/>
        <w:ind w:left="-155" w:leftChars="-7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采购人/采购代理机构</w:t>
      </w:r>
      <w:r>
        <w:rPr>
          <w:rFonts w:hint="eastAsia" w:ascii="宋体" w:hAnsi="宋体" w:eastAsia="宋体" w:cs="宋体"/>
          <w:color w:val="auto"/>
          <w:sz w:val="24"/>
          <w:szCs w:val="24"/>
          <w:highlight w:val="none"/>
        </w:rPr>
        <w:t>：</w:t>
      </w:r>
    </w:p>
    <w:p>
      <w:pPr>
        <w:spacing w:after="6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兹授权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同志，就（</w:t>
      </w:r>
      <w:r>
        <w:rPr>
          <w:rFonts w:hint="eastAsia" w:ascii="宋体" w:hAnsi="宋体" w:eastAsia="宋体" w:cs="宋体"/>
          <w:color w:val="auto"/>
          <w:sz w:val="24"/>
          <w:szCs w:val="24"/>
          <w:highlight w:val="none"/>
          <w:u w:val="single"/>
        </w:rPr>
        <w:t>项目名称</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、项目编号</w:t>
      </w:r>
      <w:r>
        <w:rPr>
          <w:rFonts w:hint="eastAsia" w:ascii="宋体" w:hAnsi="宋体" w:cs="宋体"/>
          <w:color w:val="auto"/>
          <w:sz w:val="24"/>
          <w:szCs w:val="24"/>
          <w:highlight w:val="none"/>
          <w:u w:val="single"/>
          <w:lang w:val="en-US" w:eastAsia="zh-CN"/>
        </w:rPr>
        <w:t>：</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采购包：</w:t>
      </w:r>
      <w:r>
        <w:rPr>
          <w:rFonts w:hint="eastAsia" w:ascii="宋体" w:hAnsi="宋体" w:eastAsia="宋体" w:cs="宋体"/>
          <w:color w:val="auto"/>
          <w:sz w:val="24"/>
          <w:szCs w:val="24"/>
          <w:highlight w:val="none"/>
        </w:rPr>
        <w:t>）的招投标活动，采购合同的签订、执行、完成和售后服务，作为投标人代表以我方的名义处理一切与之有关的事务。</w:t>
      </w:r>
    </w:p>
    <w:p>
      <w:pPr>
        <w:spacing w:after="6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被授权人（投标人授权代表）无转委托权限。</w:t>
      </w:r>
    </w:p>
    <w:p>
      <w:pPr>
        <w:spacing w:after="6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本授权书自法定代表人签字之日起生效，特此声明。</w:t>
      </w: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授权单位：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 xml:space="preserve">（盖章）     </w:t>
      </w: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（签名或盖私章）</w:t>
      </w: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有效期限：至        年       月      日       </w:t>
      </w: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签发日期：</w:t>
      </w:r>
    </w:p>
    <w:p>
      <w:pPr>
        <w:spacing w:after="6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附：代理人性别：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pPr>
        <w:spacing w:after="6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代理签名：</w:t>
      </w:r>
      <w:r>
        <w:rPr>
          <w:rFonts w:hint="eastAsia" w:ascii="宋体" w:hAnsi="宋体" w:eastAsia="宋体" w:cs="宋体"/>
          <w:color w:val="auto"/>
          <w:sz w:val="24"/>
          <w:szCs w:val="24"/>
          <w:highlight w:val="none"/>
          <w:u w:val="single"/>
        </w:rPr>
        <w:t xml:space="preserve">                </w:t>
      </w:r>
    </w:p>
    <w:p>
      <w:pPr>
        <w:spacing w:after="60" w:line="360" w:lineRule="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u w:val="single"/>
          <w:lang w:val="en-US" w:eastAsia="zh-CN"/>
        </w:rPr>
        <w:t xml:space="preserve">                </w:t>
      </w:r>
    </w:p>
    <w:p>
      <w:pPr>
        <w:spacing w:after="60" w:line="360" w:lineRule="auto"/>
        <w:rPr>
          <w:rFonts w:hint="eastAsia" w:ascii="宋体" w:hAnsi="宋体" w:eastAsia="宋体" w:cs="宋体"/>
          <w:color w:val="auto"/>
          <w:sz w:val="24"/>
          <w:szCs w:val="24"/>
          <w:highlight w:val="none"/>
        </w:rPr>
      </w:pPr>
    </w:p>
    <w:p>
      <w:pPr>
        <w:spacing w:after="60" w:line="360" w:lineRule="auto"/>
        <w:rPr>
          <w:rFonts w:hint="eastAsia" w:ascii="宋体" w:hAnsi="宋体" w:eastAsia="宋体" w:cs="宋体"/>
          <w:color w:val="auto"/>
          <w:sz w:val="24"/>
          <w:szCs w:val="24"/>
          <w:highlight w:val="none"/>
        </w:rPr>
      </w:pP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说明：1.法定代表人为企业事业单位、国家机关、社会团体的主要行政负责人。</w:t>
      </w: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2.内容必须填写真实、清楚、涂改无效。</w:t>
      </w:r>
    </w:p>
    <w:p>
      <w:pPr>
        <w:spacing w:after="60" w:line="360" w:lineRule="auto"/>
        <w:ind w:firstLine="720" w:firstLineChars="3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3.将此证明书提交对方作为合同附件。</w:t>
      </w:r>
    </w:p>
    <w:p>
      <w:pPr>
        <w:spacing w:after="60"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4.授权权限：全权代表本公司参与上述采购项目的投标响应，负责提供与签署确认一切文书资料，以及向贵方递交的任何补充承诺。</w:t>
      </w:r>
    </w:p>
    <w:p>
      <w:pPr>
        <w:spacing w:after="60" w:line="360" w:lineRule="auto"/>
        <w:ind w:firstLine="736" w:firstLineChars="30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5.有效期限：与本公司投标文件中标注的投标有效期相同，自本单位盖公章之日起生效。</w:t>
      </w:r>
    </w:p>
    <w:p>
      <w:pPr>
        <w:spacing w:after="60" w:line="360" w:lineRule="auto"/>
        <w:ind w:firstLine="736" w:firstLineChars="30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208280</wp:posOffset>
                </wp:positionV>
                <wp:extent cx="2333625" cy="1494155"/>
                <wp:effectExtent l="4445" t="4445" r="5080" b="6350"/>
                <wp:wrapNone/>
                <wp:docPr id="2" name="流程图: 可选过程 2"/>
                <wp:cNvGraphicFramePr/>
                <a:graphic xmlns:a="http://schemas.openxmlformats.org/drawingml/2006/main">
                  <a:graphicData uri="http://schemas.microsoft.com/office/word/2010/wordprocessingShape">
                    <wps:wsp>
                      <wps:cNvSpPr/>
                      <wps:spPr>
                        <a:xfrm>
                          <a:off x="0" y="0"/>
                          <a:ext cx="2333625" cy="11607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after="60"/>
                              <w:jc w:val="center"/>
                              <w:rPr>
                                <w:rFonts w:hint="eastAsia" w:hAnsi="宋体"/>
                                <w:szCs w:val="21"/>
                              </w:rPr>
                            </w:pPr>
                          </w:p>
                          <w:p>
                            <w:pPr>
                              <w:spacing w:after="60"/>
                              <w:jc w:val="center"/>
                              <w:rPr>
                                <w:rFonts w:hint="eastAsia" w:hAnsi="宋体"/>
                                <w:szCs w:val="21"/>
                              </w:rPr>
                            </w:pPr>
                          </w:p>
                          <w:p>
                            <w:pPr>
                              <w:spacing w:after="60"/>
                              <w:jc w:val="center"/>
                              <w:rPr>
                                <w:rFonts w:hint="eastAsia" w:hAnsi="宋体"/>
                                <w:szCs w:val="21"/>
                              </w:rPr>
                            </w:pPr>
                          </w:p>
                          <w:p>
                            <w:pPr>
                              <w:spacing w:after="60"/>
                              <w:jc w:val="center"/>
                              <w:rPr>
                                <w:rFonts w:hint="eastAsia"/>
                                <w:szCs w:val="21"/>
                              </w:rPr>
                            </w:pPr>
                            <w:r>
                              <w:rPr>
                                <w:rFonts w:hint="eastAsia" w:hAnsi="宋体"/>
                                <w:szCs w:val="21"/>
                              </w:rPr>
                              <w:t>代理人身份证复印件（正反面）</w:t>
                            </w:r>
                          </w:p>
                        </w:txbxContent>
                      </wps:txbx>
                      <wps:bodyPr vert="horz" wrap="square" anchor="t" anchorCtr="0" upright="1"/>
                    </wps:wsp>
                  </a:graphicData>
                </a:graphic>
              </wp:anchor>
            </w:drawing>
          </mc:Choice>
          <mc:Fallback>
            <w:pict>
              <v:shape id="_x0000_s1026" o:spid="_x0000_s1026" o:spt="176" type="#_x0000_t176" style="position:absolute;left:0pt;margin-left:135pt;margin-top:16.4pt;height:117.65pt;width:183.75pt;z-index:251660288;mso-width-relative:page;mso-height-relative:page;" fillcolor="#FFFFFF" filled="t" stroked="t" coordsize="21600,21600" o:gfxdata="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GpWrdcAAAAKAQAADwAAAAAA&#10;AAABACAAAAAiAAAAZHJzL2Rvd25yZXYueG1sUEsBAhQAFAAAAAgAh07iQCOg/PdNAgAAkQQAAA4A&#10;AAAAAAAAAQAgAAAAJgEAAGRycy9lMm9Eb2MueG1sUEsFBgAAAAAGAAYAWQEAAOUFAAAAAA==&#10;">
                <v:fill on="t" focussize="0,0"/>
                <v:stroke color="#000000" joinstyle="miter"/>
                <v:imagedata o:title=""/>
                <o:lock v:ext="edit" aspectratio="f"/>
                <v:textbox>
                  <w:txbxContent>
                    <w:p>
                      <w:pPr>
                        <w:spacing w:after="60"/>
                        <w:jc w:val="center"/>
                        <w:rPr>
                          <w:rFonts w:hint="eastAsia" w:hAnsi="宋体"/>
                          <w:szCs w:val="21"/>
                        </w:rPr>
                      </w:pPr>
                    </w:p>
                    <w:p>
                      <w:pPr>
                        <w:spacing w:after="60"/>
                        <w:jc w:val="center"/>
                        <w:rPr>
                          <w:rFonts w:hint="eastAsia" w:hAnsi="宋体"/>
                          <w:szCs w:val="21"/>
                        </w:rPr>
                      </w:pPr>
                    </w:p>
                    <w:p>
                      <w:pPr>
                        <w:spacing w:after="60"/>
                        <w:jc w:val="center"/>
                        <w:rPr>
                          <w:rFonts w:hint="eastAsia" w:hAnsi="宋体"/>
                          <w:szCs w:val="21"/>
                        </w:rPr>
                      </w:pPr>
                    </w:p>
                    <w:p>
                      <w:pPr>
                        <w:spacing w:after="60"/>
                        <w:jc w:val="center"/>
                        <w:rPr>
                          <w:rFonts w:hint="eastAsia"/>
                          <w:szCs w:val="21"/>
                        </w:rPr>
                      </w:pPr>
                      <w:r>
                        <w:rPr>
                          <w:rFonts w:hint="eastAsia" w:hAnsi="宋体"/>
                          <w:szCs w:val="21"/>
                        </w:rPr>
                        <w:t>代理人身份证复印件（正反面）</w:t>
                      </w:r>
                    </w:p>
                  </w:txbxContent>
                </v:textbox>
              </v:shape>
            </w:pict>
          </mc:Fallback>
        </mc:AlternateContent>
      </w:r>
      <w:r>
        <w:rPr>
          <w:rFonts w:hint="eastAsia" w:ascii="宋体" w:hAnsi="宋体" w:eastAsia="宋体" w:cs="宋体"/>
          <w:color w:val="auto"/>
          <w:sz w:val="24"/>
          <w:szCs w:val="24"/>
          <w:highlight w:val="none"/>
        </w:rPr>
        <w:t>6.投标签字代表为法定代表人，则本表不适用。</w:t>
      </w:r>
    </w:p>
    <w:p>
      <w:pPr>
        <w:spacing w:after="60" w:line="360" w:lineRule="auto"/>
        <w:ind w:firstLine="420"/>
        <w:rPr>
          <w:rFonts w:hint="eastAsia" w:ascii="宋体" w:hAnsi="宋体" w:eastAsia="宋体" w:cs="宋体"/>
          <w:color w:val="auto"/>
          <w:sz w:val="24"/>
          <w:szCs w:val="24"/>
          <w:highlight w:val="none"/>
          <w:u w:val="single"/>
        </w:rPr>
      </w:pPr>
    </w:p>
    <w:p>
      <w:pPr>
        <w:spacing w:after="60" w:line="360" w:lineRule="auto"/>
        <w:ind w:firstLine="420"/>
        <w:rPr>
          <w:rFonts w:hint="eastAsia" w:ascii="宋体" w:hAnsi="宋体" w:eastAsia="宋体" w:cs="宋体"/>
          <w:color w:val="auto"/>
          <w:sz w:val="24"/>
          <w:szCs w:val="24"/>
          <w:highlight w:val="none"/>
          <w:u w:val="single"/>
        </w:rPr>
      </w:pPr>
    </w:p>
    <w:p>
      <w:pPr>
        <w:spacing w:after="60" w:line="360" w:lineRule="auto"/>
        <w:ind w:firstLine="420"/>
        <w:rPr>
          <w:rFonts w:hint="eastAsia" w:ascii="宋体" w:hAnsi="宋体" w:eastAsia="宋体" w:cs="宋体"/>
          <w:color w:val="auto"/>
          <w:sz w:val="24"/>
          <w:szCs w:val="24"/>
          <w:highlight w:val="none"/>
          <w:u w:val="single"/>
        </w:rPr>
      </w:pPr>
    </w:p>
    <w:p>
      <w:pPr>
        <w:spacing w:after="60" w:line="360" w:lineRule="auto"/>
        <w:ind w:firstLine="420"/>
        <w:rPr>
          <w:rFonts w:hint="eastAsia" w:ascii="宋体" w:hAnsi="宋体" w:eastAsia="宋体" w:cs="宋体"/>
          <w:color w:val="auto"/>
          <w:sz w:val="24"/>
          <w:szCs w:val="24"/>
          <w:highlight w:val="none"/>
          <w:u w:val="single"/>
        </w:rPr>
      </w:pPr>
    </w:p>
    <w:p>
      <w:pPr>
        <w:spacing w:after="60" w:line="360" w:lineRule="auto"/>
        <w:ind w:firstLine="420"/>
        <w:rPr>
          <w:rFonts w:hint="eastAsia" w:ascii="宋体" w:hAnsi="宋体" w:eastAsia="宋体" w:cs="宋体"/>
          <w:color w:val="auto"/>
          <w:sz w:val="24"/>
          <w:szCs w:val="24"/>
          <w:highlight w:val="none"/>
          <w:u w:val="single"/>
        </w:rPr>
      </w:pPr>
    </w:p>
    <w:p>
      <w:pPr>
        <w:spacing w:after="60"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2.3投标保证金交纳凭证</w:t>
      </w:r>
    </w:p>
    <w:p>
      <w:pPr>
        <w:spacing w:after="60"/>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投标保证金交纳凭证</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w:t>
      </w:r>
      <w:r>
        <w:rPr>
          <w:rFonts w:hint="eastAsia" w:ascii="宋体" w:hAnsi="宋体" w:cs="宋体"/>
          <w:color w:val="auto"/>
          <w:sz w:val="24"/>
          <w:szCs w:val="24"/>
          <w:highlight w:val="none"/>
          <w:u w:val="single"/>
          <w:lang w:eastAsia="zh-CN"/>
        </w:rPr>
        <w:t>采购代理机构</w:t>
      </w:r>
      <w:r>
        <w:rPr>
          <w:rFonts w:hint="eastAsia" w:ascii="宋体" w:hAnsi="宋体" w:eastAsia="宋体" w:cs="宋体"/>
          <w:color w:val="auto"/>
          <w:sz w:val="24"/>
          <w:highlight w:val="none"/>
          <w:u w:val="single"/>
        </w:rPr>
        <w:t>）</w:t>
      </w:r>
    </w:p>
    <w:p>
      <w:pPr>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（投标人全称）   </w:t>
      </w:r>
      <w:r>
        <w:rPr>
          <w:rFonts w:hint="eastAsia" w:ascii="宋体" w:hAnsi="宋体" w:eastAsia="宋体" w:cs="宋体"/>
          <w:color w:val="auto"/>
          <w:sz w:val="24"/>
          <w:highlight w:val="none"/>
        </w:rPr>
        <w:t>参加贵方组织的、采购项目编号为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的采购活动。按《</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》的规定，已通过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形式交纳人民币（大写）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元的投标保证金。</w:t>
      </w:r>
    </w:p>
    <w:p>
      <w:pPr>
        <w:spacing w:line="360" w:lineRule="auto"/>
        <w:ind w:firstLine="480"/>
        <w:rPr>
          <w:rFonts w:hint="default" w:ascii="宋体" w:hAnsi="宋体" w:eastAsia="宋体" w:cs="宋体"/>
          <w:color w:val="auto"/>
          <w:sz w:val="24"/>
          <w:highlight w:val="none"/>
          <w:u w:val="single"/>
          <w:lang w:val="en-US"/>
        </w:rPr>
      </w:pPr>
      <w:r>
        <w:rPr>
          <w:rFonts w:hint="eastAsia" w:ascii="宋体" w:hAnsi="宋体" w:cs="宋体"/>
          <w:b w:val="0"/>
          <w:color w:val="auto"/>
          <w:sz w:val="24"/>
          <w:szCs w:val="24"/>
          <w:highlight w:val="none"/>
          <w:lang w:val="en-US" w:eastAsia="zh-CN"/>
        </w:rPr>
        <w:t>采购包：</w:t>
      </w:r>
      <w:r>
        <w:rPr>
          <w:rFonts w:hint="eastAsia" w:ascii="宋体" w:hAnsi="宋体" w:cs="宋体"/>
          <w:b w:val="0"/>
          <w:color w:val="auto"/>
          <w:sz w:val="24"/>
          <w:szCs w:val="24"/>
          <w:highlight w:val="none"/>
          <w:u w:val="single"/>
          <w:lang w:val="en-US" w:eastAsia="zh-CN"/>
        </w:rPr>
        <w:t xml:space="preserve">      </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w:t>
      </w:r>
      <w:r>
        <w:rPr>
          <w:rFonts w:hint="eastAsia" w:ascii="宋体" w:hAnsi="宋体" w:eastAsia="宋体" w:cs="宋体"/>
          <w:color w:val="auto"/>
          <w:sz w:val="24"/>
          <w:highlight w:val="none"/>
          <w:u w:val="single"/>
        </w:rPr>
        <w:t xml:space="preserve">                     </w:t>
      </w:r>
    </w:p>
    <w:p>
      <w:pPr>
        <w:spacing w:line="360" w:lineRule="auto"/>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投标人开户银行：</w:t>
      </w:r>
      <w:r>
        <w:rPr>
          <w:rFonts w:hint="eastAsia" w:ascii="宋体" w:hAnsi="宋体" w:eastAsia="宋体" w:cs="宋体"/>
          <w:color w:val="auto"/>
          <w:sz w:val="24"/>
          <w:highlight w:val="none"/>
          <w:u w:val="single"/>
        </w:rPr>
        <w:t xml:space="preserve">                 </w:t>
      </w:r>
    </w:p>
    <w:p>
      <w:pPr>
        <w:spacing w:line="360" w:lineRule="auto"/>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lang w:eastAsia="zh-CN"/>
        </w:rPr>
        <w:t>银行账号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pPr>
        <w:spacing w:line="360" w:lineRule="auto"/>
        <w:ind w:firstLine="480"/>
        <w:rPr>
          <w:rFonts w:hint="eastAsia" w:ascii="宋体" w:hAnsi="宋体" w:eastAsia="宋体" w:cs="宋体"/>
          <w:color w:val="auto"/>
          <w:sz w:val="24"/>
          <w:highlight w:val="none"/>
        </w:rPr>
      </w:pP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上述要素供银行转账及银行汇款方式填写，其他形式可不填。</w:t>
      </w:r>
      <w:r>
        <w:rPr>
          <w:rFonts w:hint="eastAsia" w:ascii="宋体" w:hAnsi="宋体" w:eastAsia="宋体" w:cs="宋体"/>
          <w:b/>
          <w:bCs/>
          <w:color w:val="auto"/>
          <w:sz w:val="24"/>
          <w:highlight w:val="none"/>
        </w:rPr>
        <w:t>其他方式以现场递交为依据。</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上述要素的填写必须与银行转账或银行汇款凭证的要素一致，（采购代理机构）依据此凭证信息退还投标保证金。</w:t>
      </w:r>
    </w:p>
    <w:p>
      <w:pPr>
        <w:adjustRightInd w:val="0"/>
        <w:snapToGrid w:val="0"/>
        <w:spacing w:after="60" w:line="360" w:lineRule="auto"/>
        <w:ind w:firstLine="480"/>
        <w:rPr>
          <w:rFonts w:hint="eastAsia" w:ascii="宋体" w:hAnsi="宋体" w:eastAsia="宋体" w:cs="宋体"/>
          <w:color w:val="auto"/>
          <w:sz w:val="24"/>
          <w:highlight w:val="none"/>
        </w:rPr>
      </w:pP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after="60"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附： </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jc w:val="center"/>
        </w:trPr>
        <w:tc>
          <w:tcPr>
            <w:tcW w:w="8660" w:type="dxa"/>
            <w:tcBorders>
              <w:top w:val="single" w:color="auto" w:sz="4" w:space="0"/>
              <w:left w:val="single" w:color="auto" w:sz="4" w:space="0"/>
              <w:bottom w:val="single" w:color="auto" w:sz="4" w:space="0"/>
              <w:right w:val="single" w:color="auto" w:sz="4" w:space="0"/>
            </w:tcBorders>
            <w:noWrap w:val="0"/>
            <w:vAlign w:val="top"/>
          </w:tcPr>
          <w:p>
            <w:pPr>
              <w:spacing w:after="60" w:afterLines="25" w:line="30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粘贴</w:t>
            </w:r>
            <w:r>
              <w:rPr>
                <w:rFonts w:hint="eastAsia" w:ascii="宋体" w:hAnsi="宋体" w:eastAsia="宋体" w:cs="宋体"/>
                <w:color w:val="auto"/>
                <w:sz w:val="24"/>
                <w:highlight w:val="none"/>
                <w:lang w:eastAsia="zh-CN"/>
              </w:rPr>
              <w:t>转账</w:t>
            </w:r>
            <w:r>
              <w:rPr>
                <w:rFonts w:hint="eastAsia" w:ascii="宋体" w:hAnsi="宋体" w:eastAsia="宋体" w:cs="宋体"/>
                <w:color w:val="auto"/>
                <w:sz w:val="24"/>
                <w:highlight w:val="none"/>
              </w:rPr>
              <w:t>或汇款的银行凭证复印件</w:t>
            </w:r>
          </w:p>
        </w:tc>
      </w:tr>
    </w:tbl>
    <w:p>
      <w:pPr>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投标人投标响应时，必须按</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要求交纳投标保证金。</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在中标通知书发出后五个工作日内凭投标</w:t>
      </w:r>
      <w:r>
        <w:rPr>
          <w:rFonts w:hint="eastAsia" w:ascii="宋体" w:hAnsi="宋体" w:cs="宋体"/>
          <w:color w:val="auto"/>
          <w:sz w:val="24"/>
          <w:highlight w:val="none"/>
          <w:lang w:eastAsia="zh-CN"/>
        </w:rPr>
        <w:t>人</w:t>
      </w:r>
      <w:r>
        <w:rPr>
          <w:rFonts w:hint="eastAsia" w:ascii="宋体" w:hAnsi="宋体" w:eastAsia="宋体" w:cs="宋体"/>
          <w:color w:val="auto"/>
          <w:sz w:val="24"/>
          <w:highlight w:val="none"/>
        </w:rPr>
        <w:t>归还的投标保证金收据退还未中标人的投标保证金，在采购合同签订后五个工作日内退还中标人的投标保证金。</w:t>
      </w:r>
    </w:p>
    <w:p>
      <w:pPr>
        <w:tabs>
          <w:tab w:val="left" w:pos="180"/>
        </w:tabs>
        <w:spacing w:after="60" w:line="360" w:lineRule="auto"/>
        <w:ind w:left="-24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投标人情况介绍表</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991"/>
        <w:gridCol w:w="1321"/>
        <w:gridCol w:w="1321"/>
        <w:gridCol w:w="991"/>
        <w:gridCol w:w="82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6606" w:type="dxa"/>
            <w:gridSpan w:val="6"/>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c>
          <w:tcPr>
            <w:tcW w:w="6606" w:type="dxa"/>
            <w:gridSpan w:val="6"/>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主管部门</w:t>
            </w: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法定代表人</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1982" w:type="dxa"/>
            <w:gridSpan w:val="2"/>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经济类型</w:t>
            </w: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1982" w:type="dxa"/>
            <w:gridSpan w:val="2"/>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w:t>
            </w: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1982" w:type="dxa"/>
            <w:gridSpan w:val="2"/>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单位简介及机构设置</w:t>
            </w:r>
          </w:p>
        </w:tc>
        <w:tc>
          <w:tcPr>
            <w:tcW w:w="6606" w:type="dxa"/>
            <w:gridSpan w:val="6"/>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1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单位优势及特长</w:t>
            </w:r>
          </w:p>
        </w:tc>
        <w:tc>
          <w:tcPr>
            <w:tcW w:w="6606" w:type="dxa"/>
            <w:gridSpan w:val="6"/>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vMerge w:val="restart"/>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单位概况</w:t>
            </w: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注册资本</w:t>
            </w:r>
          </w:p>
        </w:tc>
        <w:tc>
          <w:tcPr>
            <w:tcW w:w="1321" w:type="dxa"/>
            <w:noWrap w:val="0"/>
            <w:vAlign w:val="center"/>
          </w:tcPr>
          <w:p>
            <w:pPr>
              <w:tabs>
                <w:tab w:val="left" w:pos="540"/>
              </w:tabs>
              <w:spacing w:after="60" w:line="360" w:lineRule="auto"/>
              <w:ind w:left="-132" w:leftChars="-64" w:right="-105" w:rightChars="-50" w:hanging="2"/>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占地面积</w:t>
            </w:r>
          </w:p>
        </w:tc>
        <w:tc>
          <w:tcPr>
            <w:tcW w:w="2973" w:type="dxa"/>
            <w:gridSpan w:val="3"/>
            <w:noWrap w:val="0"/>
            <w:vAlign w:val="center"/>
          </w:tcPr>
          <w:p>
            <w:pPr>
              <w:tabs>
                <w:tab w:val="left" w:pos="540"/>
              </w:tabs>
              <w:spacing w:after="60" w:line="360" w:lineRule="auto"/>
              <w:ind w:left="-134" w:leftChars="-64" w:right="-105" w:rightChars="-50" w:firstLine="3480" w:firstLineChars="14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vMerge w:val="continue"/>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职工总数</w:t>
            </w:r>
          </w:p>
        </w:tc>
        <w:tc>
          <w:tcPr>
            <w:tcW w:w="1321" w:type="dxa"/>
            <w:noWrap w:val="0"/>
            <w:vAlign w:val="center"/>
          </w:tcPr>
          <w:p>
            <w:pPr>
              <w:tabs>
                <w:tab w:val="left" w:pos="540"/>
              </w:tabs>
              <w:spacing w:after="60" w:line="360" w:lineRule="auto"/>
              <w:ind w:left="-132" w:leftChars="-64" w:right="-105" w:rightChars="-50" w:hanging="2"/>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建筑面积</w:t>
            </w:r>
          </w:p>
        </w:tc>
        <w:tc>
          <w:tcPr>
            <w:tcW w:w="2973" w:type="dxa"/>
            <w:gridSpan w:val="3"/>
            <w:noWrap w:val="0"/>
            <w:vAlign w:val="center"/>
          </w:tcPr>
          <w:p>
            <w:pPr>
              <w:tabs>
                <w:tab w:val="left" w:pos="540"/>
              </w:tabs>
              <w:spacing w:after="60" w:line="360" w:lineRule="auto"/>
              <w:ind w:left="-134" w:leftChars="-64" w:right="-105" w:rightChars="-50" w:firstLine="3480" w:firstLineChars="14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mm</w:t>
            </w:r>
            <w:r>
              <w:rPr>
                <w:rFonts w:hint="eastAsia" w:ascii="宋体" w:hAnsi="宋体" w:eastAsia="宋体" w:cs="宋体"/>
                <w:color w:val="auto"/>
                <w:sz w:val="24"/>
                <w:szCs w:val="24"/>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vMerge w:val="continue"/>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991" w:type="dxa"/>
            <w:vMerge w:val="restart"/>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资产情况</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净资产</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2973" w:type="dxa"/>
            <w:gridSpan w:val="3"/>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固定资产原值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vMerge w:val="continue"/>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991" w:type="dxa"/>
            <w:vMerge w:val="continue"/>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负债</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2973" w:type="dxa"/>
            <w:gridSpan w:val="3"/>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固定资产净值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6" w:type="dxa"/>
            <w:vMerge w:val="restart"/>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财务状况</w:t>
            </w: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最新年度</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主营收入</w:t>
            </w:r>
          </w:p>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132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收入总额</w:t>
            </w:r>
          </w:p>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991"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利润总额（万元）</w:t>
            </w:r>
          </w:p>
        </w:tc>
        <w:tc>
          <w:tcPr>
            <w:tcW w:w="82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净利润（万元）</w:t>
            </w:r>
          </w:p>
        </w:tc>
        <w:tc>
          <w:tcPr>
            <w:tcW w:w="1156" w:type="dxa"/>
            <w:noWrap w:val="0"/>
            <w:vAlign w:val="center"/>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资产负债率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916" w:type="dxa"/>
            <w:vMerge w:val="continue"/>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991" w:type="dxa"/>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1321" w:type="dxa"/>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1321" w:type="dxa"/>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991" w:type="dxa"/>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826" w:type="dxa"/>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c>
          <w:tcPr>
            <w:tcW w:w="1156" w:type="dxa"/>
            <w:noWrap w:val="0"/>
            <w:vAlign w:val="top"/>
          </w:tcPr>
          <w:p>
            <w:pPr>
              <w:tabs>
                <w:tab w:val="left" w:pos="540"/>
              </w:tabs>
              <w:spacing w:after="60" w:line="360" w:lineRule="auto"/>
              <w:ind w:left="-132" w:leftChars="-64" w:right="-105" w:rightChars="-50" w:hanging="2"/>
              <w:jc w:val="center"/>
              <w:rPr>
                <w:rFonts w:hint="eastAsia" w:ascii="宋体" w:hAnsi="宋体" w:eastAsia="宋体" w:cs="宋体"/>
                <w:color w:val="auto"/>
                <w:sz w:val="24"/>
                <w:szCs w:val="24"/>
                <w:highlight w:val="none"/>
              </w:rPr>
            </w:pPr>
          </w:p>
        </w:tc>
      </w:tr>
    </w:tbl>
    <w:p>
      <w:pPr>
        <w:spacing w:line="360" w:lineRule="auto"/>
        <w:ind w:firstLine="480" w:firstLineChars="200"/>
        <w:jc w:val="left"/>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注：文字描述：单位性质、发展历程、经营规模及服务理念、主营产品、技术力量等。</w:t>
      </w:r>
    </w:p>
    <w:p>
      <w:pPr>
        <w:spacing w:line="360" w:lineRule="auto"/>
        <w:ind w:firstLine="482" w:firstLineChars="200"/>
        <w:jc w:val="left"/>
        <w:rPr>
          <w:rFonts w:hint="eastAsia" w:ascii="宋体" w:hAnsi="宋体" w:eastAsia="宋体" w:cs="宋体"/>
          <w:b/>
          <w:bCs/>
          <w:color w:val="auto"/>
          <w:sz w:val="24"/>
          <w:szCs w:val="24"/>
          <w:highlight w:val="none"/>
        </w:rPr>
      </w:pPr>
    </w:p>
    <w:p>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我方声明以上所述是正确无误的，您有权进行您认为必要的所有调查，如以上数据有虚假，一经查实，自行承担相关责任。</w:t>
      </w:r>
    </w:p>
    <w:p>
      <w:pPr>
        <w:pStyle w:val="14"/>
        <w:rPr>
          <w:rFonts w:hint="eastAsia" w:ascii="宋体" w:hAnsi="宋体" w:eastAsia="宋体" w:cs="宋体"/>
          <w:color w:val="auto"/>
          <w:sz w:val="24"/>
          <w:szCs w:val="24"/>
          <w:highlight w:val="none"/>
          <w:lang w:val="en-GB"/>
        </w:rPr>
      </w:pPr>
    </w:p>
    <w:p>
      <w:pPr>
        <w:adjustRightInd w:val="0"/>
        <w:snapToGrid w:val="0"/>
        <w:spacing w:after="6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pacing w:after="6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lang w:val="en-GB"/>
        </w:rPr>
        <w:br w:type="page"/>
      </w:r>
      <w:r>
        <w:rPr>
          <w:rFonts w:hint="eastAsia" w:ascii="宋体" w:hAnsi="宋体" w:eastAsia="宋体" w:cs="宋体"/>
          <w:b/>
          <w:color w:val="auto"/>
          <w:sz w:val="24"/>
          <w:szCs w:val="24"/>
          <w:highlight w:val="none"/>
        </w:rPr>
        <w:t>《技术和服务要求响应表》</w:t>
      </w:r>
    </w:p>
    <w:tbl>
      <w:tblPr>
        <w:tblStyle w:val="54"/>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13"/>
        <w:gridCol w:w="1013"/>
        <w:gridCol w:w="1013"/>
        <w:gridCol w:w="1013"/>
        <w:gridCol w:w="1013"/>
        <w:gridCol w:w="1013"/>
        <w:gridCol w:w="1013"/>
        <w:gridCol w:w="1013"/>
        <w:gridCol w:w="10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58" w:hRule="atLeast"/>
          <w:jc w:val="center"/>
        </w:trPr>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p>
        </w:tc>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参数性质</w:t>
            </w:r>
          </w:p>
        </w:tc>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规定的技术和服务要求</w:t>
            </w:r>
          </w:p>
        </w:tc>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投标文件响应的具体内容</w:t>
            </w:r>
          </w:p>
        </w:tc>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型号</w:t>
            </w:r>
          </w:p>
        </w:tc>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是否偏离</w:t>
            </w:r>
          </w:p>
        </w:tc>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证明文件所在位置</w:t>
            </w:r>
          </w:p>
        </w:tc>
        <w:tc>
          <w:tcPr>
            <w:tcW w:w="1013"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jc w:val="center"/>
        </w:trPr>
        <w:tc>
          <w:tcPr>
            <w:tcW w:w="1013"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jc w:val="center"/>
        </w:trPr>
        <w:tc>
          <w:tcPr>
            <w:tcW w:w="1013"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jc w:val="center"/>
        </w:trPr>
        <w:tc>
          <w:tcPr>
            <w:tcW w:w="1013"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jc w:val="center"/>
        </w:trPr>
        <w:tc>
          <w:tcPr>
            <w:tcW w:w="1013"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jc w:val="center"/>
        </w:trPr>
        <w:tc>
          <w:tcPr>
            <w:tcW w:w="1013"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jc w:val="center"/>
        </w:trPr>
        <w:tc>
          <w:tcPr>
            <w:tcW w:w="1013"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6" w:hRule="atLeast"/>
          <w:jc w:val="center"/>
        </w:trPr>
        <w:tc>
          <w:tcPr>
            <w:tcW w:w="1013"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c>
          <w:tcPr>
            <w:tcW w:w="1013" w:type="dxa"/>
            <w:noWrap w:val="0"/>
            <w:vAlign w:val="top"/>
          </w:tcPr>
          <w:p>
            <w:pPr>
              <w:spacing w:line="360" w:lineRule="auto"/>
              <w:rPr>
                <w:rFonts w:hint="eastAsia" w:ascii="宋体" w:hAnsi="宋体" w:eastAsia="宋体" w:cs="宋体"/>
                <w:color w:val="auto"/>
                <w:sz w:val="24"/>
                <w:szCs w:val="24"/>
                <w:highlight w:val="none"/>
              </w:rPr>
            </w:pPr>
          </w:p>
        </w:tc>
      </w:tr>
    </w:tbl>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规定的技术和服务要求”项下填写的内容应与招标文件中采购需求的</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“技术要求”的内容保持一致。投标人应当如实填写上表“投标文件响应的具体内容”处内容，对</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“是否偏离”项下应按下列规定填写：优于的，填写“正偏离”；符合的，填写“无偏离”；低于的，填写“负偏离”。</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4.“备注”处可填写偏离情况的说明。</w:t>
      </w:r>
    </w:p>
    <w:p>
      <w:pPr>
        <w:pStyle w:val="14"/>
        <w:rPr>
          <w:rFonts w:hint="eastAsia" w:ascii="宋体" w:hAnsi="宋体" w:eastAsia="宋体" w:cs="宋体"/>
          <w:color w:val="auto"/>
          <w:sz w:val="24"/>
          <w:szCs w:val="24"/>
          <w:highlight w:val="none"/>
        </w:rPr>
      </w:pPr>
    </w:p>
    <w:p>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rPr>
          <w:rFonts w:hint="eastAsia"/>
          <w:color w:val="auto"/>
          <w:highlight w:val="none"/>
        </w:rPr>
      </w:pPr>
    </w:p>
    <w:p>
      <w:pPr>
        <w:spacing w:line="360" w:lineRule="auto"/>
        <w:ind w:firstLine="480"/>
        <w:rPr>
          <w:rFonts w:hint="eastAsia" w:ascii="宋体" w:hAnsi="宋体" w:eastAsia="宋体" w:cs="宋体"/>
          <w:color w:val="auto"/>
          <w:sz w:val="24"/>
          <w:szCs w:val="24"/>
          <w:highlight w:val="none"/>
        </w:rPr>
      </w:pPr>
    </w:p>
    <w:p>
      <w:pPr>
        <w:spacing w:line="24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《商务条件响应表》</w:t>
      </w:r>
    </w:p>
    <w:tbl>
      <w:tblPr>
        <w:tblStyle w:val="54"/>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85"/>
        <w:gridCol w:w="1285"/>
        <w:gridCol w:w="1285"/>
        <w:gridCol w:w="1285"/>
        <w:gridCol w:w="1285"/>
        <w:gridCol w:w="1285"/>
        <w:gridCol w:w="128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32" w:hRule="atLeast"/>
          <w:jc w:val="center"/>
        </w:trPr>
        <w:tc>
          <w:tcPr>
            <w:tcW w:w="1285"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85"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参数性质</w:t>
            </w:r>
          </w:p>
        </w:tc>
        <w:tc>
          <w:tcPr>
            <w:tcW w:w="1285"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规定的商务条件</w:t>
            </w:r>
          </w:p>
        </w:tc>
        <w:tc>
          <w:tcPr>
            <w:tcW w:w="1285"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投标文件响应的具体内容</w:t>
            </w:r>
          </w:p>
        </w:tc>
        <w:tc>
          <w:tcPr>
            <w:tcW w:w="1285"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是否偏离</w:t>
            </w:r>
          </w:p>
        </w:tc>
        <w:tc>
          <w:tcPr>
            <w:tcW w:w="1285"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证明文件所在位置</w:t>
            </w:r>
          </w:p>
        </w:tc>
        <w:tc>
          <w:tcPr>
            <w:tcW w:w="1285"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6" w:hRule="atLeast"/>
          <w:jc w:val="center"/>
        </w:trPr>
        <w:tc>
          <w:tcPr>
            <w:tcW w:w="1285"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6" w:hRule="atLeast"/>
          <w:jc w:val="center"/>
        </w:trPr>
        <w:tc>
          <w:tcPr>
            <w:tcW w:w="1285"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6" w:hRule="atLeast"/>
          <w:jc w:val="center"/>
        </w:trPr>
        <w:tc>
          <w:tcPr>
            <w:tcW w:w="1285"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6" w:hRule="atLeast"/>
          <w:jc w:val="center"/>
        </w:trPr>
        <w:tc>
          <w:tcPr>
            <w:tcW w:w="1285"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6" w:hRule="atLeast"/>
          <w:jc w:val="center"/>
        </w:trPr>
        <w:tc>
          <w:tcPr>
            <w:tcW w:w="1285"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6" w:hRule="atLeast"/>
          <w:jc w:val="center"/>
        </w:trPr>
        <w:tc>
          <w:tcPr>
            <w:tcW w:w="1285"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8" w:hRule="atLeast"/>
          <w:jc w:val="center"/>
        </w:trPr>
        <w:tc>
          <w:tcPr>
            <w:tcW w:w="1285"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c>
          <w:tcPr>
            <w:tcW w:w="1285" w:type="dxa"/>
            <w:noWrap w:val="0"/>
            <w:vAlign w:val="top"/>
          </w:tcPr>
          <w:p>
            <w:pPr>
              <w:spacing w:line="360" w:lineRule="auto"/>
              <w:rPr>
                <w:rFonts w:hint="eastAsia" w:ascii="宋体" w:hAnsi="宋体" w:eastAsia="宋体" w:cs="宋体"/>
                <w:color w:val="auto"/>
                <w:sz w:val="24"/>
                <w:szCs w:val="24"/>
                <w:highlight w:val="none"/>
              </w:rPr>
            </w:pPr>
          </w:p>
        </w:tc>
      </w:tr>
    </w:tbl>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规定的商务条件”项下填写的内容应与招标文件中采购需求的 “商务要求”的内容保持一致。</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2.投标人应当如实填写上表“投标文件响应的具体内容”处内容，对</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规定的商务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“是否偏离”项下应按下列规定填写：优于的，填写“正偏离”；符合的，填写“无偏离”；低于的，填写“负偏离”。</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5.“备注”处可填写偏离情况的说明。</w:t>
      </w:r>
    </w:p>
    <w:p>
      <w:pPr>
        <w:pStyle w:val="14"/>
        <w:rPr>
          <w:rFonts w:hint="eastAsia" w:ascii="宋体" w:hAnsi="宋体" w:eastAsia="宋体" w:cs="宋体"/>
          <w:color w:val="auto"/>
          <w:sz w:val="24"/>
          <w:szCs w:val="24"/>
          <w:highlight w:val="none"/>
        </w:rPr>
      </w:pPr>
    </w:p>
    <w:p>
      <w:pPr>
        <w:rPr>
          <w:rFonts w:hint="eastAsia"/>
          <w:color w:val="auto"/>
          <w:highlight w:val="none"/>
        </w:rPr>
      </w:pPr>
    </w:p>
    <w:p>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投标人获得相关部门颁发的资质</w:t>
      </w:r>
      <w:r>
        <w:rPr>
          <w:rFonts w:hint="eastAsia" w:ascii="宋体" w:hAnsi="宋体" w:cs="宋体"/>
          <w:b/>
          <w:bCs/>
          <w:color w:val="auto"/>
          <w:sz w:val="24"/>
          <w:szCs w:val="24"/>
          <w:highlight w:val="none"/>
          <w:lang w:eastAsia="zh-CN"/>
        </w:rPr>
        <w:t>证书</w:t>
      </w:r>
      <w:r>
        <w:rPr>
          <w:rFonts w:hint="eastAsia" w:ascii="宋体" w:hAnsi="宋体" w:eastAsia="宋体" w:cs="宋体"/>
          <w:b/>
          <w:bCs/>
          <w:color w:val="auto"/>
          <w:sz w:val="24"/>
          <w:szCs w:val="24"/>
          <w:highlight w:val="none"/>
        </w:rPr>
        <w:t>、荣誉证书、获奖证书</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2164"/>
        <w:gridCol w:w="2164"/>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164"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证书名称</w:t>
            </w:r>
          </w:p>
        </w:tc>
        <w:tc>
          <w:tcPr>
            <w:tcW w:w="2164"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发证单位</w:t>
            </w:r>
          </w:p>
        </w:tc>
        <w:tc>
          <w:tcPr>
            <w:tcW w:w="2164"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证书等级</w:t>
            </w:r>
          </w:p>
        </w:tc>
        <w:tc>
          <w:tcPr>
            <w:tcW w:w="260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606"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606"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164" w:type="dxa"/>
            <w:noWrap w:val="0"/>
            <w:vAlign w:val="top"/>
          </w:tcPr>
          <w:p>
            <w:pPr>
              <w:spacing w:line="360" w:lineRule="auto"/>
              <w:jc w:val="center"/>
              <w:rPr>
                <w:rFonts w:hint="eastAsia" w:ascii="宋体" w:hAnsi="宋体" w:eastAsia="宋体" w:cs="宋体"/>
                <w:color w:val="auto"/>
                <w:sz w:val="24"/>
                <w:szCs w:val="24"/>
                <w:highlight w:val="none"/>
              </w:rPr>
            </w:pPr>
          </w:p>
        </w:tc>
        <w:tc>
          <w:tcPr>
            <w:tcW w:w="2606" w:type="dxa"/>
            <w:noWrap w:val="0"/>
            <w:vAlign w:val="top"/>
          </w:tcPr>
          <w:p>
            <w:pPr>
              <w:spacing w:line="360" w:lineRule="auto"/>
              <w:jc w:val="center"/>
              <w:rPr>
                <w:rFonts w:hint="eastAsia" w:ascii="宋体" w:hAnsi="宋体" w:eastAsia="宋体" w:cs="宋体"/>
                <w:color w:val="auto"/>
                <w:sz w:val="24"/>
                <w:szCs w:val="24"/>
                <w:highlight w:val="none"/>
              </w:rPr>
            </w:pPr>
          </w:p>
        </w:tc>
      </w:tr>
    </w:tbl>
    <w:p>
      <w:pPr>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备注：根据评分表的要求提交相应资料。</w:t>
      </w:r>
    </w:p>
    <w:p>
      <w:pPr>
        <w:spacing w:line="360" w:lineRule="auto"/>
        <w:jc w:val="center"/>
        <w:rPr>
          <w:rFonts w:hint="eastAsia" w:ascii="宋体" w:hAnsi="宋体" w:eastAsia="宋体" w:cs="宋体"/>
          <w:b/>
          <w:bCs/>
          <w:color w:val="auto"/>
          <w:sz w:val="24"/>
          <w:szCs w:val="24"/>
          <w:highlight w:val="none"/>
        </w:rPr>
      </w:pPr>
    </w:p>
    <w:p>
      <w:pPr>
        <w:spacing w:line="360" w:lineRule="auto"/>
        <w:jc w:val="center"/>
        <w:rPr>
          <w:rFonts w:hint="eastAsia" w:ascii="宋体" w:hAnsi="宋体" w:eastAsia="宋体" w:cs="宋体"/>
          <w:b/>
          <w:bCs/>
          <w:color w:val="auto"/>
          <w:sz w:val="24"/>
          <w:szCs w:val="24"/>
          <w:highlight w:val="none"/>
        </w:rPr>
      </w:pPr>
    </w:p>
    <w:p>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rPr>
          <w:rFonts w:hint="eastAsia" w:ascii="宋体" w:hAnsi="宋体" w:eastAsia="宋体" w:cs="宋体"/>
          <w:color w:val="auto"/>
          <w:sz w:val="24"/>
          <w:highlight w:val="none"/>
        </w:rPr>
      </w:pPr>
    </w:p>
    <w:p>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r>
        <w:rPr>
          <w:rFonts w:hint="eastAsia" w:ascii="宋体" w:hAnsi="宋体" w:eastAsia="宋体" w:cs="宋体"/>
          <w:b/>
          <w:bCs/>
          <w:color w:val="auto"/>
          <w:sz w:val="24"/>
          <w:highlight w:val="none"/>
        </w:rPr>
        <w:t>同类项目情况一览表</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b w:val="0"/>
          <w:color w:val="auto"/>
          <w:sz w:val="24"/>
          <w:szCs w:val="24"/>
          <w:highlight w:val="none"/>
          <w:lang w:val="en-US" w:eastAsia="zh-CN"/>
        </w:rPr>
        <w:t xml:space="preserve">采购包： </w:t>
      </w:r>
      <w:r>
        <w:rPr>
          <w:rFonts w:hint="eastAsia" w:ascii="宋体" w:hAnsi="宋体" w:eastAsia="宋体" w:cs="宋体"/>
          <w:color w:val="auto"/>
          <w:sz w:val="24"/>
          <w:szCs w:val="24"/>
          <w:highlight w:val="none"/>
        </w:rPr>
        <w:t xml:space="preserve">   </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322"/>
        <w:gridCol w:w="1169"/>
        <w:gridCol w:w="1046"/>
        <w:gridCol w:w="1630"/>
        <w:gridCol w:w="1718"/>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jc w:val="center"/>
        </w:trPr>
        <w:tc>
          <w:tcPr>
            <w:tcW w:w="639"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22"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业主名称</w:t>
            </w:r>
          </w:p>
        </w:tc>
        <w:tc>
          <w:tcPr>
            <w:tcW w:w="1169"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04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w:t>
            </w:r>
          </w:p>
        </w:tc>
        <w:tc>
          <w:tcPr>
            <w:tcW w:w="1630"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签约及完成时间</w:t>
            </w:r>
          </w:p>
        </w:tc>
        <w:tc>
          <w:tcPr>
            <w:tcW w:w="1718"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业主单位联系人及电话</w:t>
            </w:r>
          </w:p>
        </w:tc>
        <w:tc>
          <w:tcPr>
            <w:tcW w:w="1713"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合同书及业绩证明材料在投标文件的位置（页码）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39"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22" w:type="dxa"/>
            <w:noWrap w:val="0"/>
            <w:vAlign w:val="top"/>
          </w:tcPr>
          <w:p>
            <w:pPr>
              <w:spacing w:line="360" w:lineRule="auto"/>
              <w:jc w:val="center"/>
              <w:rPr>
                <w:rFonts w:hint="eastAsia" w:ascii="宋体" w:hAnsi="宋体" w:eastAsia="宋体" w:cs="宋体"/>
                <w:color w:val="auto"/>
                <w:sz w:val="24"/>
                <w:szCs w:val="24"/>
                <w:highlight w:val="none"/>
              </w:rPr>
            </w:pPr>
          </w:p>
        </w:tc>
        <w:tc>
          <w:tcPr>
            <w:tcW w:w="1169" w:type="dxa"/>
            <w:noWrap w:val="0"/>
            <w:vAlign w:val="top"/>
          </w:tcPr>
          <w:p>
            <w:pPr>
              <w:spacing w:line="360" w:lineRule="auto"/>
              <w:jc w:val="center"/>
              <w:rPr>
                <w:rFonts w:hint="eastAsia" w:ascii="宋体" w:hAnsi="宋体" w:eastAsia="宋体" w:cs="宋体"/>
                <w:color w:val="auto"/>
                <w:sz w:val="24"/>
                <w:szCs w:val="24"/>
                <w:highlight w:val="none"/>
              </w:rPr>
            </w:pPr>
          </w:p>
        </w:tc>
        <w:tc>
          <w:tcPr>
            <w:tcW w:w="1046" w:type="dxa"/>
            <w:noWrap w:val="0"/>
            <w:vAlign w:val="top"/>
          </w:tcPr>
          <w:p>
            <w:pPr>
              <w:spacing w:line="360" w:lineRule="auto"/>
              <w:jc w:val="center"/>
              <w:rPr>
                <w:rFonts w:hint="eastAsia" w:ascii="宋体" w:hAnsi="宋体" w:eastAsia="宋体" w:cs="宋体"/>
                <w:color w:val="auto"/>
                <w:sz w:val="24"/>
                <w:szCs w:val="24"/>
                <w:highlight w:val="none"/>
              </w:rPr>
            </w:pPr>
          </w:p>
        </w:tc>
        <w:tc>
          <w:tcPr>
            <w:tcW w:w="1630" w:type="dxa"/>
            <w:noWrap w:val="0"/>
            <w:vAlign w:val="top"/>
          </w:tcPr>
          <w:p>
            <w:pPr>
              <w:spacing w:line="360" w:lineRule="auto"/>
              <w:jc w:val="center"/>
              <w:rPr>
                <w:rFonts w:hint="eastAsia" w:ascii="宋体" w:hAnsi="宋体" w:eastAsia="宋体" w:cs="宋体"/>
                <w:color w:val="auto"/>
                <w:sz w:val="24"/>
                <w:szCs w:val="24"/>
                <w:highlight w:val="none"/>
              </w:rPr>
            </w:pPr>
          </w:p>
        </w:tc>
        <w:tc>
          <w:tcPr>
            <w:tcW w:w="1718" w:type="dxa"/>
            <w:noWrap w:val="0"/>
            <w:vAlign w:val="top"/>
          </w:tcPr>
          <w:p>
            <w:pPr>
              <w:spacing w:line="360" w:lineRule="auto"/>
              <w:jc w:val="center"/>
              <w:rPr>
                <w:rFonts w:hint="eastAsia" w:ascii="宋体" w:hAnsi="宋体" w:eastAsia="宋体" w:cs="宋体"/>
                <w:color w:val="auto"/>
                <w:sz w:val="24"/>
                <w:szCs w:val="24"/>
                <w:highlight w:val="none"/>
              </w:rPr>
            </w:pPr>
          </w:p>
        </w:tc>
        <w:tc>
          <w:tcPr>
            <w:tcW w:w="1713"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39"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22" w:type="dxa"/>
            <w:noWrap w:val="0"/>
            <w:vAlign w:val="top"/>
          </w:tcPr>
          <w:p>
            <w:pPr>
              <w:spacing w:line="360" w:lineRule="auto"/>
              <w:jc w:val="center"/>
              <w:rPr>
                <w:rFonts w:hint="eastAsia" w:ascii="宋体" w:hAnsi="宋体" w:eastAsia="宋体" w:cs="宋体"/>
                <w:color w:val="auto"/>
                <w:sz w:val="24"/>
                <w:szCs w:val="24"/>
                <w:highlight w:val="none"/>
              </w:rPr>
            </w:pPr>
          </w:p>
        </w:tc>
        <w:tc>
          <w:tcPr>
            <w:tcW w:w="1169" w:type="dxa"/>
            <w:noWrap w:val="0"/>
            <w:vAlign w:val="top"/>
          </w:tcPr>
          <w:p>
            <w:pPr>
              <w:spacing w:line="360" w:lineRule="auto"/>
              <w:jc w:val="center"/>
              <w:rPr>
                <w:rFonts w:hint="eastAsia" w:ascii="宋体" w:hAnsi="宋体" w:eastAsia="宋体" w:cs="宋体"/>
                <w:color w:val="auto"/>
                <w:sz w:val="24"/>
                <w:szCs w:val="24"/>
                <w:highlight w:val="none"/>
              </w:rPr>
            </w:pPr>
          </w:p>
        </w:tc>
        <w:tc>
          <w:tcPr>
            <w:tcW w:w="1046" w:type="dxa"/>
            <w:noWrap w:val="0"/>
            <w:vAlign w:val="top"/>
          </w:tcPr>
          <w:p>
            <w:pPr>
              <w:spacing w:line="360" w:lineRule="auto"/>
              <w:jc w:val="center"/>
              <w:rPr>
                <w:rFonts w:hint="eastAsia" w:ascii="宋体" w:hAnsi="宋体" w:eastAsia="宋体" w:cs="宋体"/>
                <w:color w:val="auto"/>
                <w:sz w:val="24"/>
                <w:szCs w:val="24"/>
                <w:highlight w:val="none"/>
              </w:rPr>
            </w:pPr>
          </w:p>
        </w:tc>
        <w:tc>
          <w:tcPr>
            <w:tcW w:w="1630" w:type="dxa"/>
            <w:noWrap w:val="0"/>
            <w:vAlign w:val="top"/>
          </w:tcPr>
          <w:p>
            <w:pPr>
              <w:spacing w:line="360" w:lineRule="auto"/>
              <w:jc w:val="center"/>
              <w:rPr>
                <w:rFonts w:hint="eastAsia" w:ascii="宋体" w:hAnsi="宋体" w:eastAsia="宋体" w:cs="宋体"/>
                <w:color w:val="auto"/>
                <w:sz w:val="24"/>
                <w:szCs w:val="24"/>
                <w:highlight w:val="none"/>
              </w:rPr>
            </w:pPr>
          </w:p>
        </w:tc>
        <w:tc>
          <w:tcPr>
            <w:tcW w:w="1718" w:type="dxa"/>
            <w:noWrap w:val="0"/>
            <w:vAlign w:val="top"/>
          </w:tcPr>
          <w:p>
            <w:pPr>
              <w:spacing w:line="360" w:lineRule="auto"/>
              <w:jc w:val="center"/>
              <w:rPr>
                <w:rFonts w:hint="eastAsia" w:ascii="宋体" w:hAnsi="宋体" w:eastAsia="宋体" w:cs="宋体"/>
                <w:color w:val="auto"/>
                <w:sz w:val="24"/>
                <w:szCs w:val="24"/>
                <w:highlight w:val="none"/>
              </w:rPr>
            </w:pPr>
          </w:p>
        </w:tc>
        <w:tc>
          <w:tcPr>
            <w:tcW w:w="1713"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39"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322" w:type="dxa"/>
            <w:noWrap w:val="0"/>
            <w:vAlign w:val="top"/>
          </w:tcPr>
          <w:p>
            <w:pPr>
              <w:spacing w:line="360" w:lineRule="auto"/>
              <w:jc w:val="center"/>
              <w:rPr>
                <w:rFonts w:hint="eastAsia" w:ascii="宋体" w:hAnsi="宋体" w:eastAsia="宋体" w:cs="宋体"/>
                <w:color w:val="auto"/>
                <w:sz w:val="24"/>
                <w:szCs w:val="24"/>
                <w:highlight w:val="none"/>
              </w:rPr>
            </w:pPr>
          </w:p>
        </w:tc>
        <w:tc>
          <w:tcPr>
            <w:tcW w:w="1169" w:type="dxa"/>
            <w:noWrap w:val="0"/>
            <w:vAlign w:val="top"/>
          </w:tcPr>
          <w:p>
            <w:pPr>
              <w:spacing w:line="360" w:lineRule="auto"/>
              <w:jc w:val="center"/>
              <w:rPr>
                <w:rFonts w:hint="eastAsia" w:ascii="宋体" w:hAnsi="宋体" w:eastAsia="宋体" w:cs="宋体"/>
                <w:color w:val="auto"/>
                <w:sz w:val="24"/>
                <w:szCs w:val="24"/>
                <w:highlight w:val="none"/>
              </w:rPr>
            </w:pPr>
          </w:p>
        </w:tc>
        <w:tc>
          <w:tcPr>
            <w:tcW w:w="1046" w:type="dxa"/>
            <w:noWrap w:val="0"/>
            <w:vAlign w:val="top"/>
          </w:tcPr>
          <w:p>
            <w:pPr>
              <w:spacing w:line="360" w:lineRule="auto"/>
              <w:jc w:val="center"/>
              <w:rPr>
                <w:rFonts w:hint="eastAsia" w:ascii="宋体" w:hAnsi="宋体" w:eastAsia="宋体" w:cs="宋体"/>
                <w:color w:val="auto"/>
                <w:sz w:val="24"/>
                <w:szCs w:val="24"/>
                <w:highlight w:val="none"/>
              </w:rPr>
            </w:pPr>
          </w:p>
        </w:tc>
        <w:tc>
          <w:tcPr>
            <w:tcW w:w="1630" w:type="dxa"/>
            <w:noWrap w:val="0"/>
            <w:vAlign w:val="top"/>
          </w:tcPr>
          <w:p>
            <w:pPr>
              <w:spacing w:line="360" w:lineRule="auto"/>
              <w:jc w:val="center"/>
              <w:rPr>
                <w:rFonts w:hint="eastAsia" w:ascii="宋体" w:hAnsi="宋体" w:eastAsia="宋体" w:cs="宋体"/>
                <w:color w:val="auto"/>
                <w:sz w:val="24"/>
                <w:szCs w:val="24"/>
                <w:highlight w:val="none"/>
              </w:rPr>
            </w:pPr>
          </w:p>
        </w:tc>
        <w:tc>
          <w:tcPr>
            <w:tcW w:w="1718" w:type="dxa"/>
            <w:noWrap w:val="0"/>
            <w:vAlign w:val="top"/>
          </w:tcPr>
          <w:p>
            <w:pPr>
              <w:spacing w:line="360" w:lineRule="auto"/>
              <w:jc w:val="center"/>
              <w:rPr>
                <w:rFonts w:hint="eastAsia" w:ascii="宋体" w:hAnsi="宋体" w:eastAsia="宋体" w:cs="宋体"/>
                <w:color w:val="auto"/>
                <w:sz w:val="24"/>
                <w:szCs w:val="24"/>
                <w:highlight w:val="none"/>
              </w:rPr>
            </w:pPr>
          </w:p>
        </w:tc>
        <w:tc>
          <w:tcPr>
            <w:tcW w:w="1713" w:type="dxa"/>
            <w:noWrap w:val="0"/>
            <w:vAlign w:val="top"/>
          </w:tcPr>
          <w:p>
            <w:pPr>
              <w:spacing w:line="360" w:lineRule="auto"/>
              <w:jc w:val="center"/>
              <w:rPr>
                <w:rFonts w:hint="eastAsia" w:ascii="宋体" w:hAnsi="宋体" w:eastAsia="宋体" w:cs="宋体"/>
                <w:color w:val="auto"/>
                <w:sz w:val="24"/>
                <w:szCs w:val="24"/>
                <w:highlight w:val="none"/>
              </w:rPr>
            </w:pPr>
          </w:p>
        </w:tc>
      </w:tr>
    </w:tbl>
    <w:p>
      <w:pPr>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备注：根据评分表的要求提交相应资料。</w:t>
      </w:r>
    </w:p>
    <w:p>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我方声明以上所述是正确无误的，您有权进行您认为必要的所有调查，如以上数据有虚假，一经查实，自行承担相关责任。</w:t>
      </w:r>
    </w:p>
    <w:p>
      <w:pPr>
        <w:spacing w:line="360" w:lineRule="auto"/>
        <w:jc w:val="left"/>
        <w:rPr>
          <w:rFonts w:hint="eastAsia" w:ascii="宋体" w:hAnsi="宋体" w:eastAsia="宋体" w:cs="宋体"/>
          <w:color w:val="auto"/>
          <w:sz w:val="24"/>
          <w:highlight w:val="none"/>
        </w:rPr>
      </w:pPr>
    </w:p>
    <w:p>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jc w:val="left"/>
        <w:rPr>
          <w:rFonts w:hint="eastAsia" w:ascii="宋体" w:hAnsi="宋体" w:eastAsia="宋体" w:cs="宋体"/>
          <w:color w:val="auto"/>
          <w:sz w:val="24"/>
          <w:highlight w:val="none"/>
        </w:rPr>
      </w:pPr>
    </w:p>
    <w:p>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24"/>
          <w:highlight w:val="none"/>
        </w:rPr>
        <w:t>拟投入本项目人员一览表</w:t>
      </w:r>
    </w:p>
    <w:p>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pPr>
        <w:spacing w:line="360" w:lineRule="auto"/>
        <w:jc w:val="left"/>
        <w:rPr>
          <w:rFonts w:hint="eastAsia" w:ascii="宋体" w:hAnsi="宋体" w:eastAsia="宋体" w:cs="宋体"/>
          <w:color w:val="auto"/>
          <w:sz w:val="24"/>
          <w:szCs w:val="24"/>
          <w:highlight w:val="none"/>
        </w:rPr>
      </w:pPr>
      <w:r>
        <w:rPr>
          <w:rFonts w:hint="eastAsia" w:ascii="宋体" w:hAnsi="宋体" w:cs="宋体"/>
          <w:b w:val="0"/>
          <w:color w:val="auto"/>
          <w:sz w:val="24"/>
          <w:szCs w:val="24"/>
          <w:highlight w:val="none"/>
          <w:lang w:val="en-US" w:eastAsia="zh-CN"/>
        </w:rPr>
        <w:t xml:space="preserve">采购包： </w:t>
      </w:r>
      <w:r>
        <w:rPr>
          <w:rFonts w:hint="eastAsia" w:ascii="宋体" w:hAnsi="宋体" w:eastAsia="宋体" w:cs="宋体"/>
          <w:color w:val="auto"/>
          <w:sz w:val="24"/>
          <w:szCs w:val="24"/>
          <w:highlight w:val="none"/>
        </w:rPr>
        <w:t xml:space="preserve">  </w:t>
      </w:r>
    </w:p>
    <w:p>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952"/>
        <w:gridCol w:w="842"/>
        <w:gridCol w:w="754"/>
        <w:gridCol w:w="803"/>
        <w:gridCol w:w="931"/>
        <w:gridCol w:w="786"/>
        <w:gridCol w:w="1300"/>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461"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952"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842"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754"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803"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931"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78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300"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经验年限</w:t>
            </w:r>
          </w:p>
        </w:tc>
        <w:tc>
          <w:tcPr>
            <w:tcW w:w="228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拟担任职务或担任工作内容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61"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52" w:type="dxa"/>
            <w:noWrap w:val="0"/>
            <w:vAlign w:val="top"/>
          </w:tcPr>
          <w:p>
            <w:pPr>
              <w:spacing w:line="360" w:lineRule="auto"/>
              <w:jc w:val="center"/>
              <w:rPr>
                <w:rFonts w:hint="eastAsia" w:ascii="宋体" w:hAnsi="宋体" w:eastAsia="宋体" w:cs="宋体"/>
                <w:color w:val="auto"/>
                <w:sz w:val="24"/>
                <w:szCs w:val="24"/>
                <w:highlight w:val="none"/>
              </w:rPr>
            </w:pPr>
          </w:p>
        </w:tc>
        <w:tc>
          <w:tcPr>
            <w:tcW w:w="842" w:type="dxa"/>
            <w:noWrap w:val="0"/>
            <w:vAlign w:val="top"/>
          </w:tcPr>
          <w:p>
            <w:pPr>
              <w:spacing w:line="360" w:lineRule="auto"/>
              <w:jc w:val="center"/>
              <w:rPr>
                <w:rFonts w:hint="eastAsia" w:ascii="宋体" w:hAnsi="宋体" w:eastAsia="宋体" w:cs="宋体"/>
                <w:color w:val="auto"/>
                <w:sz w:val="24"/>
                <w:szCs w:val="24"/>
                <w:highlight w:val="none"/>
              </w:rPr>
            </w:pPr>
          </w:p>
        </w:tc>
        <w:tc>
          <w:tcPr>
            <w:tcW w:w="754" w:type="dxa"/>
            <w:noWrap w:val="0"/>
            <w:vAlign w:val="top"/>
          </w:tcPr>
          <w:p>
            <w:pPr>
              <w:spacing w:line="360" w:lineRule="auto"/>
              <w:jc w:val="center"/>
              <w:rPr>
                <w:rFonts w:hint="eastAsia" w:ascii="宋体" w:hAnsi="宋体" w:eastAsia="宋体" w:cs="宋体"/>
                <w:color w:val="auto"/>
                <w:sz w:val="24"/>
                <w:szCs w:val="24"/>
                <w:highlight w:val="none"/>
              </w:rPr>
            </w:pPr>
          </w:p>
        </w:tc>
        <w:tc>
          <w:tcPr>
            <w:tcW w:w="803" w:type="dxa"/>
            <w:noWrap w:val="0"/>
            <w:vAlign w:val="top"/>
          </w:tcPr>
          <w:p>
            <w:pPr>
              <w:spacing w:line="360" w:lineRule="auto"/>
              <w:jc w:val="center"/>
              <w:rPr>
                <w:rFonts w:hint="eastAsia" w:ascii="宋体" w:hAnsi="宋体" w:eastAsia="宋体" w:cs="宋体"/>
                <w:color w:val="auto"/>
                <w:sz w:val="24"/>
                <w:szCs w:val="24"/>
                <w:highlight w:val="none"/>
              </w:rPr>
            </w:pPr>
          </w:p>
        </w:tc>
        <w:tc>
          <w:tcPr>
            <w:tcW w:w="931" w:type="dxa"/>
            <w:noWrap w:val="0"/>
            <w:vAlign w:val="top"/>
          </w:tcPr>
          <w:p>
            <w:pPr>
              <w:spacing w:line="360" w:lineRule="auto"/>
              <w:jc w:val="center"/>
              <w:rPr>
                <w:rFonts w:hint="eastAsia" w:ascii="宋体" w:hAnsi="宋体" w:eastAsia="宋体" w:cs="宋体"/>
                <w:color w:val="auto"/>
                <w:sz w:val="24"/>
                <w:szCs w:val="24"/>
                <w:highlight w:val="none"/>
              </w:rPr>
            </w:pPr>
          </w:p>
        </w:tc>
        <w:tc>
          <w:tcPr>
            <w:tcW w:w="786" w:type="dxa"/>
            <w:noWrap w:val="0"/>
            <w:vAlign w:val="top"/>
          </w:tcPr>
          <w:p>
            <w:pPr>
              <w:spacing w:line="360" w:lineRule="auto"/>
              <w:jc w:val="center"/>
              <w:rPr>
                <w:rFonts w:hint="eastAsia" w:ascii="宋体" w:hAnsi="宋体" w:eastAsia="宋体" w:cs="宋体"/>
                <w:color w:val="auto"/>
                <w:sz w:val="24"/>
                <w:szCs w:val="24"/>
                <w:highlight w:val="none"/>
              </w:rPr>
            </w:pPr>
          </w:p>
        </w:tc>
        <w:tc>
          <w:tcPr>
            <w:tcW w:w="1300" w:type="dxa"/>
            <w:noWrap w:val="0"/>
            <w:vAlign w:val="top"/>
          </w:tcPr>
          <w:p>
            <w:pPr>
              <w:spacing w:line="360" w:lineRule="auto"/>
              <w:jc w:val="center"/>
              <w:rPr>
                <w:rFonts w:hint="eastAsia" w:ascii="宋体" w:hAnsi="宋体" w:eastAsia="宋体" w:cs="宋体"/>
                <w:color w:val="auto"/>
                <w:sz w:val="24"/>
                <w:szCs w:val="24"/>
                <w:highlight w:val="none"/>
              </w:rPr>
            </w:pPr>
          </w:p>
        </w:tc>
        <w:tc>
          <w:tcPr>
            <w:tcW w:w="2286"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61"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52" w:type="dxa"/>
            <w:noWrap w:val="0"/>
            <w:vAlign w:val="top"/>
          </w:tcPr>
          <w:p>
            <w:pPr>
              <w:spacing w:line="360" w:lineRule="auto"/>
              <w:jc w:val="center"/>
              <w:rPr>
                <w:rFonts w:hint="eastAsia" w:ascii="宋体" w:hAnsi="宋体" w:eastAsia="宋体" w:cs="宋体"/>
                <w:color w:val="auto"/>
                <w:sz w:val="24"/>
                <w:szCs w:val="24"/>
                <w:highlight w:val="none"/>
              </w:rPr>
            </w:pPr>
          </w:p>
        </w:tc>
        <w:tc>
          <w:tcPr>
            <w:tcW w:w="842" w:type="dxa"/>
            <w:noWrap w:val="0"/>
            <w:vAlign w:val="top"/>
          </w:tcPr>
          <w:p>
            <w:pPr>
              <w:spacing w:line="360" w:lineRule="auto"/>
              <w:jc w:val="center"/>
              <w:rPr>
                <w:rFonts w:hint="eastAsia" w:ascii="宋体" w:hAnsi="宋体" w:eastAsia="宋体" w:cs="宋体"/>
                <w:color w:val="auto"/>
                <w:sz w:val="24"/>
                <w:szCs w:val="24"/>
                <w:highlight w:val="none"/>
              </w:rPr>
            </w:pPr>
          </w:p>
        </w:tc>
        <w:tc>
          <w:tcPr>
            <w:tcW w:w="754" w:type="dxa"/>
            <w:noWrap w:val="0"/>
            <w:vAlign w:val="top"/>
          </w:tcPr>
          <w:p>
            <w:pPr>
              <w:spacing w:line="360" w:lineRule="auto"/>
              <w:jc w:val="center"/>
              <w:rPr>
                <w:rFonts w:hint="eastAsia" w:ascii="宋体" w:hAnsi="宋体" w:eastAsia="宋体" w:cs="宋体"/>
                <w:color w:val="auto"/>
                <w:sz w:val="24"/>
                <w:szCs w:val="24"/>
                <w:highlight w:val="none"/>
              </w:rPr>
            </w:pPr>
          </w:p>
        </w:tc>
        <w:tc>
          <w:tcPr>
            <w:tcW w:w="803" w:type="dxa"/>
            <w:noWrap w:val="0"/>
            <w:vAlign w:val="top"/>
          </w:tcPr>
          <w:p>
            <w:pPr>
              <w:spacing w:line="360" w:lineRule="auto"/>
              <w:jc w:val="center"/>
              <w:rPr>
                <w:rFonts w:hint="eastAsia" w:ascii="宋体" w:hAnsi="宋体" w:eastAsia="宋体" w:cs="宋体"/>
                <w:color w:val="auto"/>
                <w:sz w:val="24"/>
                <w:szCs w:val="24"/>
                <w:highlight w:val="none"/>
              </w:rPr>
            </w:pPr>
          </w:p>
        </w:tc>
        <w:tc>
          <w:tcPr>
            <w:tcW w:w="931" w:type="dxa"/>
            <w:noWrap w:val="0"/>
            <w:vAlign w:val="top"/>
          </w:tcPr>
          <w:p>
            <w:pPr>
              <w:spacing w:line="360" w:lineRule="auto"/>
              <w:jc w:val="center"/>
              <w:rPr>
                <w:rFonts w:hint="eastAsia" w:ascii="宋体" w:hAnsi="宋体" w:eastAsia="宋体" w:cs="宋体"/>
                <w:color w:val="auto"/>
                <w:sz w:val="24"/>
                <w:szCs w:val="24"/>
                <w:highlight w:val="none"/>
              </w:rPr>
            </w:pPr>
          </w:p>
        </w:tc>
        <w:tc>
          <w:tcPr>
            <w:tcW w:w="786" w:type="dxa"/>
            <w:noWrap w:val="0"/>
            <w:vAlign w:val="top"/>
          </w:tcPr>
          <w:p>
            <w:pPr>
              <w:spacing w:line="360" w:lineRule="auto"/>
              <w:jc w:val="center"/>
              <w:rPr>
                <w:rFonts w:hint="eastAsia" w:ascii="宋体" w:hAnsi="宋体" w:eastAsia="宋体" w:cs="宋体"/>
                <w:color w:val="auto"/>
                <w:sz w:val="24"/>
                <w:szCs w:val="24"/>
                <w:highlight w:val="none"/>
              </w:rPr>
            </w:pPr>
          </w:p>
        </w:tc>
        <w:tc>
          <w:tcPr>
            <w:tcW w:w="1300" w:type="dxa"/>
            <w:noWrap w:val="0"/>
            <w:vAlign w:val="top"/>
          </w:tcPr>
          <w:p>
            <w:pPr>
              <w:spacing w:line="360" w:lineRule="auto"/>
              <w:jc w:val="center"/>
              <w:rPr>
                <w:rFonts w:hint="eastAsia" w:ascii="宋体" w:hAnsi="宋体" w:eastAsia="宋体" w:cs="宋体"/>
                <w:color w:val="auto"/>
                <w:sz w:val="24"/>
                <w:szCs w:val="24"/>
                <w:highlight w:val="none"/>
              </w:rPr>
            </w:pPr>
          </w:p>
        </w:tc>
        <w:tc>
          <w:tcPr>
            <w:tcW w:w="2286" w:type="dxa"/>
            <w:noWrap w:val="0"/>
            <w:vAlign w:val="top"/>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61" w:type="dxa"/>
            <w:noWrap w:val="0"/>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52" w:type="dxa"/>
            <w:noWrap w:val="0"/>
            <w:vAlign w:val="top"/>
          </w:tcPr>
          <w:p>
            <w:pPr>
              <w:spacing w:line="360" w:lineRule="auto"/>
              <w:jc w:val="center"/>
              <w:rPr>
                <w:rFonts w:hint="eastAsia" w:ascii="宋体" w:hAnsi="宋体" w:eastAsia="宋体" w:cs="宋体"/>
                <w:color w:val="auto"/>
                <w:sz w:val="24"/>
                <w:szCs w:val="24"/>
                <w:highlight w:val="none"/>
              </w:rPr>
            </w:pPr>
          </w:p>
        </w:tc>
        <w:tc>
          <w:tcPr>
            <w:tcW w:w="842" w:type="dxa"/>
            <w:noWrap w:val="0"/>
            <w:vAlign w:val="top"/>
          </w:tcPr>
          <w:p>
            <w:pPr>
              <w:spacing w:line="360" w:lineRule="auto"/>
              <w:jc w:val="center"/>
              <w:rPr>
                <w:rFonts w:hint="eastAsia" w:ascii="宋体" w:hAnsi="宋体" w:eastAsia="宋体" w:cs="宋体"/>
                <w:color w:val="auto"/>
                <w:sz w:val="24"/>
                <w:szCs w:val="24"/>
                <w:highlight w:val="none"/>
              </w:rPr>
            </w:pPr>
          </w:p>
        </w:tc>
        <w:tc>
          <w:tcPr>
            <w:tcW w:w="754" w:type="dxa"/>
            <w:noWrap w:val="0"/>
            <w:vAlign w:val="top"/>
          </w:tcPr>
          <w:p>
            <w:pPr>
              <w:spacing w:line="360" w:lineRule="auto"/>
              <w:jc w:val="center"/>
              <w:rPr>
                <w:rFonts w:hint="eastAsia" w:ascii="宋体" w:hAnsi="宋体" w:eastAsia="宋体" w:cs="宋体"/>
                <w:color w:val="auto"/>
                <w:sz w:val="24"/>
                <w:szCs w:val="24"/>
                <w:highlight w:val="none"/>
              </w:rPr>
            </w:pPr>
          </w:p>
        </w:tc>
        <w:tc>
          <w:tcPr>
            <w:tcW w:w="803" w:type="dxa"/>
            <w:noWrap w:val="0"/>
            <w:vAlign w:val="top"/>
          </w:tcPr>
          <w:p>
            <w:pPr>
              <w:spacing w:line="360" w:lineRule="auto"/>
              <w:jc w:val="center"/>
              <w:rPr>
                <w:rFonts w:hint="eastAsia" w:ascii="宋体" w:hAnsi="宋体" w:eastAsia="宋体" w:cs="宋体"/>
                <w:color w:val="auto"/>
                <w:sz w:val="24"/>
                <w:szCs w:val="24"/>
                <w:highlight w:val="none"/>
              </w:rPr>
            </w:pPr>
          </w:p>
        </w:tc>
        <w:tc>
          <w:tcPr>
            <w:tcW w:w="931" w:type="dxa"/>
            <w:noWrap w:val="0"/>
            <w:vAlign w:val="top"/>
          </w:tcPr>
          <w:p>
            <w:pPr>
              <w:spacing w:line="360" w:lineRule="auto"/>
              <w:jc w:val="center"/>
              <w:rPr>
                <w:rFonts w:hint="eastAsia" w:ascii="宋体" w:hAnsi="宋体" w:eastAsia="宋体" w:cs="宋体"/>
                <w:color w:val="auto"/>
                <w:sz w:val="24"/>
                <w:szCs w:val="24"/>
                <w:highlight w:val="none"/>
              </w:rPr>
            </w:pPr>
          </w:p>
        </w:tc>
        <w:tc>
          <w:tcPr>
            <w:tcW w:w="786" w:type="dxa"/>
            <w:noWrap w:val="0"/>
            <w:vAlign w:val="top"/>
          </w:tcPr>
          <w:p>
            <w:pPr>
              <w:spacing w:line="360" w:lineRule="auto"/>
              <w:jc w:val="center"/>
              <w:rPr>
                <w:rFonts w:hint="eastAsia" w:ascii="宋体" w:hAnsi="宋体" w:eastAsia="宋体" w:cs="宋体"/>
                <w:color w:val="auto"/>
                <w:sz w:val="24"/>
                <w:szCs w:val="24"/>
                <w:highlight w:val="none"/>
              </w:rPr>
            </w:pPr>
          </w:p>
        </w:tc>
        <w:tc>
          <w:tcPr>
            <w:tcW w:w="1300" w:type="dxa"/>
            <w:noWrap w:val="0"/>
            <w:vAlign w:val="top"/>
          </w:tcPr>
          <w:p>
            <w:pPr>
              <w:spacing w:line="360" w:lineRule="auto"/>
              <w:jc w:val="center"/>
              <w:rPr>
                <w:rFonts w:hint="eastAsia" w:ascii="宋体" w:hAnsi="宋体" w:eastAsia="宋体" w:cs="宋体"/>
                <w:color w:val="auto"/>
                <w:sz w:val="24"/>
                <w:szCs w:val="24"/>
                <w:highlight w:val="none"/>
              </w:rPr>
            </w:pPr>
          </w:p>
        </w:tc>
        <w:tc>
          <w:tcPr>
            <w:tcW w:w="2286" w:type="dxa"/>
            <w:noWrap w:val="0"/>
            <w:vAlign w:val="top"/>
          </w:tcPr>
          <w:p>
            <w:pPr>
              <w:spacing w:line="360" w:lineRule="auto"/>
              <w:jc w:val="center"/>
              <w:rPr>
                <w:rFonts w:hint="eastAsia" w:ascii="宋体" w:hAnsi="宋体" w:eastAsia="宋体" w:cs="宋体"/>
                <w:color w:val="auto"/>
                <w:sz w:val="24"/>
                <w:szCs w:val="24"/>
                <w:highlight w:val="none"/>
              </w:rPr>
            </w:pPr>
          </w:p>
        </w:tc>
      </w:tr>
    </w:tbl>
    <w:p>
      <w:pPr>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备注：根据评分表的要求提交相应资料。</w:t>
      </w:r>
    </w:p>
    <w:p>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我方声明以上所述是正确无误的，您有权进行您认为必要的所有调查，如以上数据有虚假，一经查实，自行承担相关责任。</w:t>
      </w:r>
    </w:p>
    <w:p>
      <w:pPr>
        <w:spacing w:line="360" w:lineRule="auto"/>
        <w:jc w:val="left"/>
        <w:rPr>
          <w:rFonts w:hint="eastAsia" w:ascii="宋体" w:hAnsi="宋体" w:eastAsia="宋体" w:cs="宋体"/>
          <w:color w:val="auto"/>
          <w:sz w:val="24"/>
          <w:highlight w:val="none"/>
        </w:rPr>
      </w:pPr>
    </w:p>
    <w:p>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br w:type="page"/>
      </w:r>
      <w:r>
        <w:rPr>
          <w:rFonts w:hint="eastAsia" w:ascii="宋体" w:hAnsi="宋体" w:cs="宋体"/>
          <w:b/>
          <w:bCs/>
          <w:color w:val="auto"/>
          <w:sz w:val="24"/>
          <w:highlight w:val="none"/>
          <w:lang w:val="en-US" w:eastAsia="zh-CN"/>
        </w:rPr>
        <w:t>技术</w:t>
      </w:r>
      <w:r>
        <w:rPr>
          <w:rFonts w:hint="eastAsia" w:ascii="宋体" w:hAnsi="宋体" w:eastAsia="宋体" w:cs="宋体"/>
          <w:b/>
          <w:bCs/>
          <w:color w:val="auto"/>
          <w:sz w:val="24"/>
          <w:highlight w:val="none"/>
        </w:rPr>
        <w:t>方案（格式自拟）</w:t>
      </w:r>
    </w:p>
    <w:p>
      <w:pPr>
        <w:spacing w:line="360" w:lineRule="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color w:val="auto"/>
          <w:sz w:val="24"/>
          <w:szCs w:val="24"/>
          <w:highlight w:val="none"/>
          <w:lang w:val="en-US" w:eastAsia="zh-CN"/>
        </w:rPr>
        <w:t>采购包：</w:t>
      </w:r>
    </w:p>
    <w:p>
      <w:pPr>
        <w:spacing w:line="360" w:lineRule="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w:t>
      </w:r>
    </w:p>
    <w:p>
      <w:pPr>
        <w:spacing w:line="360" w:lineRule="auto"/>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2</w:t>
      </w:r>
      <w:r>
        <w:rPr>
          <w:rFonts w:hint="eastAsia" w:ascii="宋体" w:hAnsi="宋体" w:eastAsia="宋体" w:cs="宋体"/>
          <w:b w:val="0"/>
          <w:bCs w:val="0"/>
          <w:color w:val="auto"/>
          <w:sz w:val="24"/>
          <w:highlight w:val="none"/>
          <w:lang w:val="en-US" w:eastAsia="zh-CN"/>
        </w:rPr>
        <w:t>、</w:t>
      </w:r>
    </w:p>
    <w:p>
      <w:pPr>
        <w:pStyle w:val="20"/>
        <w:rPr>
          <w:rFonts w:hint="default"/>
          <w:b w:val="0"/>
          <w:bCs w:val="0"/>
          <w:lang w:val="en-US"/>
        </w:rPr>
      </w:pPr>
      <w:r>
        <w:rPr>
          <w:rFonts w:hint="eastAsia" w:ascii="宋体" w:hAnsi="宋体" w:cs="宋体"/>
          <w:b w:val="0"/>
          <w:bCs w:val="0"/>
          <w:color w:val="auto"/>
          <w:sz w:val="24"/>
          <w:highlight w:val="none"/>
          <w:lang w:val="en-US" w:eastAsia="zh-CN"/>
        </w:rPr>
        <w:t>3、</w:t>
      </w:r>
    </w:p>
    <w:p>
      <w:pPr>
        <w:spacing w:line="360" w:lineRule="auto"/>
        <w:jc w:val="left"/>
        <w:rPr>
          <w:rFonts w:hint="eastAsia" w:ascii="宋体" w:hAnsi="宋体" w:eastAsia="宋体" w:cs="宋体"/>
          <w:lang w:val="en-US"/>
        </w:rPr>
      </w:pPr>
      <w:r>
        <w:rPr>
          <w:rFonts w:hint="eastAsia" w:ascii="宋体" w:hAnsi="宋体" w:eastAsia="宋体" w:cs="宋体"/>
          <w:lang w:val="en-US"/>
        </w:rPr>
        <w:t>………</w:t>
      </w:r>
    </w:p>
    <w:p>
      <w:pPr>
        <w:pStyle w:val="72"/>
        <w:rPr>
          <w:rFonts w:hint="eastAsia"/>
          <w:lang w:val="en-US"/>
        </w:rPr>
      </w:pP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根据</w:t>
      </w:r>
      <w:r>
        <w:rPr>
          <w:rFonts w:hint="eastAsia" w:ascii="宋体" w:hAnsi="宋体" w:cs="宋体"/>
          <w:b/>
          <w:bCs/>
          <w:color w:val="auto"/>
          <w:sz w:val="24"/>
          <w:highlight w:val="none"/>
          <w:lang w:eastAsia="zh-CN"/>
        </w:rPr>
        <w:t>招标文件技术部分</w:t>
      </w:r>
      <w:r>
        <w:rPr>
          <w:rFonts w:hint="eastAsia" w:ascii="宋体" w:hAnsi="宋体" w:eastAsia="宋体" w:cs="宋体"/>
          <w:b/>
          <w:bCs/>
          <w:color w:val="auto"/>
          <w:sz w:val="24"/>
          <w:highlight w:val="none"/>
        </w:rPr>
        <w:t>评分表的要求，自行完善。</w:t>
      </w:r>
    </w:p>
    <w:p>
      <w:pPr>
        <w:spacing w:line="360" w:lineRule="auto"/>
        <w:jc w:val="center"/>
        <w:rPr>
          <w:rFonts w:hint="eastAsia" w:ascii="宋体" w:hAnsi="宋体" w:eastAsia="宋体" w:cs="宋体"/>
          <w:b/>
          <w:bCs/>
          <w:color w:val="auto"/>
          <w:sz w:val="24"/>
          <w:highlight w:val="none"/>
        </w:rPr>
      </w:pPr>
    </w:p>
    <w:p>
      <w:pPr>
        <w:spacing w:line="360" w:lineRule="auto"/>
        <w:jc w:val="center"/>
        <w:rPr>
          <w:rFonts w:hint="eastAsia" w:ascii="宋体" w:hAnsi="宋体" w:eastAsia="宋体" w:cs="宋体"/>
          <w:b/>
          <w:bCs/>
          <w:color w:val="auto"/>
          <w:sz w:val="24"/>
          <w:highlight w:val="none"/>
        </w:rPr>
      </w:pPr>
    </w:p>
    <w:p>
      <w:pPr>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（公章）</w:t>
      </w:r>
    </w:p>
    <w:p>
      <w:pPr>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spacing w:line="480" w:lineRule="auto"/>
        <w:ind w:firstLine="48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4"/>
          <w:szCs w:val="24"/>
          <w:highlight w:val="none"/>
        </w:rPr>
        <w:t>其他材料</w:t>
      </w:r>
    </w:p>
    <w:p>
      <w:pPr>
        <w:tabs>
          <w:tab w:val="left" w:pos="2520"/>
        </w:tabs>
        <w:rPr>
          <w:rFonts w:hint="eastAsia" w:ascii="宋体" w:hAnsi="宋体" w:eastAsia="宋体" w:cs="宋体"/>
          <w:color w:val="auto"/>
          <w:highlight w:val="none"/>
        </w:rPr>
      </w:pPr>
    </w:p>
    <w:p>
      <w:pPr>
        <w:pStyle w:val="46"/>
        <w:rPr>
          <w:rFonts w:hint="eastAsia" w:ascii="宋体" w:hAnsi="宋体" w:eastAsia="宋体" w:cs="宋体"/>
          <w:b/>
          <w:color w:val="auto"/>
          <w:sz w:val="24"/>
          <w:highlight w:val="none"/>
        </w:rPr>
      </w:pPr>
      <w:r>
        <w:rPr>
          <w:rFonts w:hint="eastAsia" w:ascii="宋体" w:hAnsi="宋体" w:eastAsia="宋体" w:cs="宋体"/>
          <w:color w:val="auto"/>
          <w:sz w:val="24"/>
          <w:highlight w:val="none"/>
        </w:rPr>
        <w:t>注：此处提交</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规定以外，投标人认为需要提交的其他材料。</w:t>
      </w: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rPr>
          <w:rFonts w:hint="eastAsia" w:ascii="宋体" w:hAnsi="宋体" w:eastAsia="宋体" w:cs="宋体"/>
          <w:b/>
          <w:color w:val="auto"/>
          <w:sz w:val="24"/>
          <w:highlight w:val="none"/>
        </w:rPr>
      </w:pPr>
    </w:p>
    <w:p>
      <w:pPr>
        <w:pStyle w:val="46"/>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开标一览表</w:t>
      </w:r>
      <w:r>
        <w:rPr>
          <w:rFonts w:hint="eastAsia" w:ascii="宋体" w:hAnsi="宋体" w:eastAsia="宋体" w:cs="宋体"/>
          <w:b/>
          <w:color w:val="auto"/>
          <w:sz w:val="24"/>
          <w:highlight w:val="none"/>
          <w:lang w:eastAsia="zh-CN"/>
        </w:rPr>
        <w:t>（报价一览表）</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lang w:val="en-US" w:eastAsia="zh-CN"/>
        </w:rPr>
        <w:t xml:space="preserve">采购包： </w:t>
      </w:r>
      <w:r>
        <w:rPr>
          <w:rFonts w:hint="eastAsia" w:ascii="宋体" w:hAnsi="宋体" w:eastAsia="宋体" w:cs="宋体"/>
          <w:color w:val="auto"/>
          <w:sz w:val="24"/>
          <w:szCs w:val="24"/>
          <w:highlight w:val="none"/>
        </w:rPr>
        <w:t xml:space="preserve">                              </w:t>
      </w:r>
    </w:p>
    <w:p>
      <w:pPr>
        <w:spacing w:after="60" w:line="360" w:lineRule="auto"/>
        <w:ind w:firstLine="240" w:firstLineChars="1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项目编号：</w:t>
      </w:r>
    </w:p>
    <w:tbl>
      <w:tblPr>
        <w:tblStyle w:val="54"/>
        <w:tblW w:w="89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2"/>
        <w:gridCol w:w="1050"/>
        <w:gridCol w:w="2820"/>
        <w:gridCol w:w="2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exact"/>
          <w:jc w:val="center"/>
        </w:trPr>
        <w:tc>
          <w:tcPr>
            <w:tcW w:w="2652" w:type="dxa"/>
            <w:noWrap w:val="0"/>
            <w:vAlign w:val="center"/>
          </w:tcPr>
          <w:p>
            <w:pPr>
              <w:bidi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采购项目</w:t>
            </w:r>
          </w:p>
        </w:tc>
        <w:tc>
          <w:tcPr>
            <w:tcW w:w="1050" w:type="dxa"/>
            <w:noWrap w:val="0"/>
            <w:vAlign w:val="center"/>
          </w:tcPr>
          <w:p>
            <w:pPr>
              <w:bidi w:val="0"/>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采购包</w:t>
            </w:r>
          </w:p>
        </w:tc>
        <w:tc>
          <w:tcPr>
            <w:tcW w:w="2820" w:type="dxa"/>
            <w:noWrap w:val="0"/>
            <w:vAlign w:val="center"/>
          </w:tcPr>
          <w:p>
            <w:pPr>
              <w:bidi w:val="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投标报价</w:t>
            </w:r>
            <w:r>
              <w:rPr>
                <w:rFonts w:hint="eastAsia" w:ascii="宋体" w:hAnsi="宋体" w:cs="宋体"/>
                <w:b/>
                <w:bCs/>
                <w:color w:val="auto"/>
                <w:sz w:val="24"/>
                <w:szCs w:val="24"/>
                <w:highlight w:val="none"/>
                <w:lang w:eastAsia="zh-CN"/>
              </w:rPr>
              <w:t>（元）</w:t>
            </w:r>
          </w:p>
        </w:tc>
        <w:tc>
          <w:tcPr>
            <w:tcW w:w="2477" w:type="dxa"/>
            <w:noWrap w:val="0"/>
            <w:vAlign w:val="center"/>
          </w:tcPr>
          <w:p>
            <w:pPr>
              <w:bidi w:val="0"/>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交货期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exact"/>
          <w:jc w:val="center"/>
        </w:trPr>
        <w:tc>
          <w:tcPr>
            <w:tcW w:w="2652" w:type="dxa"/>
            <w:noWrap w:val="0"/>
            <w:vAlign w:val="center"/>
          </w:tcPr>
          <w:p>
            <w:pPr>
              <w:bidi w:val="0"/>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cs="宋体"/>
                <w:color w:val="auto"/>
                <w:sz w:val="24"/>
                <w:szCs w:val="24"/>
                <w:highlight w:val="none"/>
                <w:lang w:val="en-US" w:eastAsia="zh-CN"/>
              </w:rPr>
              <w:t>佛山市三水区国睿再生资源回收有限公司国睿冷库基础设施配套项目（第二次）</w:t>
            </w:r>
          </w:p>
        </w:tc>
        <w:tc>
          <w:tcPr>
            <w:tcW w:w="1050" w:type="dxa"/>
            <w:noWrap w:val="0"/>
            <w:vAlign w:val="center"/>
          </w:tcPr>
          <w:p>
            <w:pPr>
              <w:bidi w:val="0"/>
              <w:spacing w:line="360" w:lineRule="auto"/>
              <w:jc w:val="center"/>
              <w:rPr>
                <w:rFonts w:hint="default" w:ascii="宋体" w:hAnsi="宋体" w:cs="宋体"/>
                <w:color w:val="auto"/>
                <w:sz w:val="24"/>
                <w:szCs w:val="24"/>
                <w:highlight w:val="none"/>
                <w:lang w:val="en-US" w:eastAsia="zh-CN"/>
              </w:rPr>
            </w:pPr>
            <w:r>
              <w:rPr>
                <w:rFonts w:hint="eastAsia" w:ascii="宋体" w:hAnsi="宋体" w:cs="宋体"/>
                <w:b w:val="0"/>
                <w:color w:val="auto"/>
                <w:sz w:val="24"/>
                <w:szCs w:val="24"/>
                <w:highlight w:val="none"/>
                <w:lang w:val="en-US" w:eastAsia="zh-CN"/>
              </w:rPr>
              <w:t>采购包1</w:t>
            </w:r>
          </w:p>
        </w:tc>
        <w:tc>
          <w:tcPr>
            <w:tcW w:w="2820" w:type="dxa"/>
            <w:noWrap w:val="0"/>
            <w:vAlign w:val="center"/>
          </w:tcPr>
          <w:p>
            <w:pPr>
              <w:bidi w:val="0"/>
              <w:spacing w:line="360" w:lineRule="auto"/>
              <w:jc w:val="left"/>
              <w:rPr>
                <w:rFonts w:hint="default"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lang w:val="en-US" w:eastAsia="zh-CN"/>
              </w:rPr>
              <w:t>大写：</w:t>
            </w:r>
            <w:r>
              <w:rPr>
                <w:rFonts w:hint="eastAsia" w:ascii="宋体" w:hAnsi="宋体" w:cs="宋体"/>
                <w:b w:val="0"/>
                <w:bCs w:val="0"/>
                <w:color w:val="auto"/>
                <w:sz w:val="24"/>
                <w:szCs w:val="24"/>
                <w:highlight w:val="none"/>
                <w:u w:val="single"/>
                <w:lang w:val="en-US" w:eastAsia="zh-CN"/>
              </w:rPr>
              <w:t xml:space="preserve">              </w:t>
            </w:r>
          </w:p>
          <w:p>
            <w:pPr>
              <w:bidi w:val="0"/>
              <w:spacing w:line="360" w:lineRule="auto"/>
              <w:jc w:val="left"/>
              <w:rPr>
                <w:rFonts w:hint="default"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lang w:val="en-US" w:eastAsia="zh-CN"/>
              </w:rPr>
              <w:t>小写：</w:t>
            </w:r>
            <w:r>
              <w:rPr>
                <w:rFonts w:hint="eastAsia" w:ascii="宋体" w:hAnsi="宋体" w:cs="宋体"/>
                <w:b w:val="0"/>
                <w:bCs w:val="0"/>
                <w:color w:val="auto"/>
                <w:sz w:val="24"/>
                <w:szCs w:val="24"/>
                <w:highlight w:val="none"/>
                <w:u w:val="single"/>
                <w:lang w:val="en-US" w:eastAsia="zh-CN"/>
              </w:rPr>
              <w:t xml:space="preserve">              </w:t>
            </w:r>
          </w:p>
        </w:tc>
        <w:tc>
          <w:tcPr>
            <w:tcW w:w="2477" w:type="dxa"/>
            <w:noWrap w:val="0"/>
            <w:vAlign w:val="center"/>
          </w:tcPr>
          <w:p>
            <w:pPr>
              <w:bidi w:val="0"/>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cs="宋体"/>
                <w:color w:val="auto"/>
                <w:spacing w:val="-2"/>
                <w:sz w:val="24"/>
                <w:szCs w:val="24"/>
                <w:highlight w:val="none"/>
                <w:lang w:eastAsia="zh-CN"/>
              </w:rPr>
              <w:t>自合同签订之日起25天交付。</w:t>
            </w:r>
          </w:p>
        </w:tc>
      </w:tr>
    </w:tbl>
    <w:p>
      <w:pPr>
        <w:spacing w:after="60" w:line="360" w:lineRule="auto"/>
        <w:ind w:firstLine="240" w:firstLineChars="100"/>
        <w:rPr>
          <w:rFonts w:hint="eastAsia" w:ascii="宋体" w:hAnsi="宋体" w:eastAsia="宋体" w:cs="宋体"/>
          <w:bCs/>
          <w:color w:val="auto"/>
          <w:sz w:val="24"/>
          <w:szCs w:val="24"/>
          <w:highlight w:val="none"/>
        </w:rPr>
      </w:pPr>
    </w:p>
    <w:p>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pPr>
        <w:spacing w:before="13" w:line="360" w:lineRule="auto"/>
        <w:ind w:firstLine="4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此表须附在正、副本的投标文件中，并另封装一份于“唱标信封”中。</w:t>
      </w:r>
    </w:p>
    <w:p>
      <w:pPr>
        <w:adjustRightInd w:val="0"/>
        <w:snapToGrid w:val="0"/>
        <w:spacing w:after="60" w:line="360" w:lineRule="auto"/>
        <w:ind w:firstLine="4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须按要求填写所有信息，不得随意更改本表格式。</w:t>
      </w:r>
    </w:p>
    <w:p>
      <w:pPr>
        <w:adjustRightInd w:val="0"/>
        <w:snapToGrid w:val="0"/>
        <w:spacing w:after="60" w:line="360" w:lineRule="auto"/>
        <w:ind w:firstLine="4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报价应包含本项目的所有费用。</w:t>
      </w:r>
    </w:p>
    <w:p>
      <w:pPr>
        <w:spacing w:line="360" w:lineRule="auto"/>
        <w:jc w:val="right"/>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pStyle w:val="46"/>
        <w:rPr>
          <w:rFonts w:hint="eastAsia" w:ascii="宋体" w:hAnsi="宋体" w:eastAsia="宋体" w:cs="宋体"/>
          <w:color w:val="auto"/>
          <w:highlight w:val="none"/>
        </w:rPr>
      </w:pPr>
    </w:p>
    <w:p>
      <w:pPr>
        <w:spacing w:line="360" w:lineRule="auto"/>
        <w:ind w:firstLine="4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pacing w:line="360" w:lineRule="auto"/>
        <w:ind w:firstLine="44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投标人法定代表人（或法定代表人授权代表）签字： </w:t>
      </w:r>
      <w:r>
        <w:rPr>
          <w:rFonts w:hint="eastAsia" w:ascii="宋体" w:hAnsi="宋体" w:eastAsia="宋体" w:cs="宋体"/>
          <w:color w:val="auto"/>
          <w:sz w:val="24"/>
          <w:szCs w:val="24"/>
          <w:highlight w:val="none"/>
          <w:u w:val="single"/>
        </w:rPr>
        <w:t xml:space="preserve">                  </w:t>
      </w:r>
    </w:p>
    <w:p>
      <w:pPr>
        <w:spacing w:line="360" w:lineRule="auto"/>
        <w:ind w:firstLine="4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pStyle w:val="46"/>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pPr>
        <w:pStyle w:val="46"/>
        <w:spacing w:line="360" w:lineRule="auto"/>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sz w:val="24"/>
          <w:highlight w:val="none"/>
        </w:rPr>
        <w:t>分项报价表</w:t>
      </w:r>
      <w:r>
        <w:rPr>
          <w:rFonts w:hint="eastAsia" w:ascii="宋体" w:hAnsi="宋体" w:cs="宋体"/>
          <w:b/>
          <w:bCs w:val="0"/>
          <w:color w:val="auto"/>
          <w:sz w:val="24"/>
          <w:highlight w:val="none"/>
          <w:lang w:eastAsia="zh-CN"/>
        </w:rPr>
        <w:t>（</w:t>
      </w:r>
      <w:r>
        <w:rPr>
          <w:rFonts w:hint="eastAsia" w:ascii="宋体" w:hAnsi="宋体" w:cs="宋体"/>
          <w:b/>
          <w:bCs w:val="0"/>
          <w:color w:val="auto"/>
          <w:sz w:val="24"/>
          <w:highlight w:val="none"/>
          <w:lang w:val="en-US" w:eastAsia="zh-CN"/>
        </w:rPr>
        <w:t>如有</w:t>
      </w:r>
      <w:r>
        <w:rPr>
          <w:rFonts w:hint="eastAsia" w:ascii="宋体" w:hAnsi="宋体" w:cs="宋体"/>
          <w:b/>
          <w:bCs w:val="0"/>
          <w:color w:val="auto"/>
          <w:sz w:val="24"/>
          <w:highlight w:val="none"/>
          <w:lang w:eastAsia="zh-CN"/>
        </w:rPr>
        <w:t>）（</w:t>
      </w:r>
      <w:r>
        <w:rPr>
          <w:rFonts w:hint="eastAsia" w:ascii="宋体" w:hAnsi="宋体" w:cs="宋体"/>
          <w:b/>
          <w:bCs w:val="0"/>
          <w:color w:val="auto"/>
          <w:sz w:val="24"/>
          <w:highlight w:val="none"/>
          <w:lang w:val="en-US" w:eastAsia="zh-CN"/>
        </w:rPr>
        <w:t>格式自拟</w:t>
      </w:r>
      <w:r>
        <w:rPr>
          <w:rFonts w:hint="eastAsia" w:ascii="宋体" w:hAnsi="宋体" w:cs="宋体"/>
          <w:b/>
          <w:bCs w:val="0"/>
          <w:color w:val="auto"/>
          <w:sz w:val="24"/>
          <w:highlight w:val="none"/>
          <w:lang w:eastAsia="zh-CN"/>
        </w:rPr>
        <w:t>）</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pPr>
        <w:spacing w:after="60" w:line="360" w:lineRule="auto"/>
        <w:ind w:firstLine="240" w:firstLineChars="100"/>
        <w:rPr>
          <w:rFonts w:hint="eastAsia" w:ascii="宋体" w:hAnsi="宋体" w:eastAsia="宋体" w:cs="宋体"/>
          <w:color w:val="auto"/>
          <w:sz w:val="24"/>
          <w:szCs w:val="24"/>
          <w:highlight w:val="none"/>
        </w:rPr>
      </w:pPr>
      <w:r>
        <w:rPr>
          <w:rFonts w:hint="eastAsia" w:ascii="宋体" w:hAnsi="宋体" w:cs="宋体"/>
          <w:b w:val="0"/>
          <w:color w:val="auto"/>
          <w:sz w:val="24"/>
          <w:szCs w:val="24"/>
          <w:highlight w:val="none"/>
          <w:lang w:val="en-US" w:eastAsia="zh-CN"/>
        </w:rPr>
        <w:t xml:space="preserve">采购包： </w:t>
      </w:r>
    </w:p>
    <w:p>
      <w:pPr>
        <w:spacing w:after="60" w:line="360" w:lineRule="auto"/>
        <w:ind w:firstLine="240" w:firstLineChars="1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项目编号：</w:t>
      </w:r>
    </w:p>
    <w:p>
      <w:pPr>
        <w:pStyle w:val="46"/>
        <w:rPr>
          <w:rFonts w:hint="eastAsia" w:ascii="宋体" w:hAnsi="宋体" w:eastAsia="宋体" w:cs="宋体"/>
          <w:color w:val="auto"/>
          <w:sz w:val="24"/>
          <w:szCs w:val="24"/>
          <w:highlight w:val="none"/>
          <w:lang w:eastAsia="zh-CN"/>
        </w:rPr>
      </w:pPr>
    </w:p>
    <w:p>
      <w:pPr>
        <w:jc w:val="center"/>
        <w:rPr>
          <w:rFonts w:hint="eastAsia" w:ascii="宋体" w:hAnsi="宋体" w:eastAsia="宋体" w:cs="宋体"/>
          <w:b/>
          <w:color w:val="auto"/>
          <w:sz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pPr>
        <w:spacing w:before="13" w:line="360" w:lineRule="auto"/>
        <w:ind w:firstLine="4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此表须附在正、副本的投标文件中，并另封装一份于“唱标信封”中。</w:t>
      </w:r>
    </w:p>
    <w:p>
      <w:pPr>
        <w:adjustRightInd w:val="0"/>
        <w:snapToGrid w:val="0"/>
        <w:spacing w:after="60" w:line="360" w:lineRule="auto"/>
        <w:ind w:firstLine="4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须按要求填写所有信息，不得随意更改本表格式。</w:t>
      </w:r>
    </w:p>
    <w:p>
      <w:pPr>
        <w:adjustRightInd w:val="0"/>
        <w:snapToGrid w:val="0"/>
        <w:spacing w:after="60" w:line="360" w:lineRule="auto"/>
        <w:ind w:firstLine="4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报价应包含本项目的所有费用。</w:t>
      </w:r>
    </w:p>
    <w:p>
      <w:pPr>
        <w:spacing w:line="360" w:lineRule="auto"/>
        <w:jc w:val="right"/>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pStyle w:val="46"/>
        <w:rPr>
          <w:rFonts w:hint="eastAsia" w:ascii="宋体" w:hAnsi="宋体" w:eastAsia="宋体" w:cs="宋体"/>
          <w:color w:val="auto"/>
          <w:highlight w:val="none"/>
        </w:rPr>
      </w:pPr>
    </w:p>
    <w:p>
      <w:pPr>
        <w:spacing w:line="360" w:lineRule="auto"/>
        <w:ind w:firstLine="4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pacing w:line="360" w:lineRule="auto"/>
        <w:ind w:firstLine="44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投标人法定代表人（或法定代表人授权代表）签字： </w:t>
      </w:r>
    </w:p>
    <w:p>
      <w:pPr>
        <w:spacing w:line="360" w:lineRule="auto"/>
        <w:ind w:firstLine="4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br w:type="page"/>
      </w:r>
      <w:r>
        <w:rPr>
          <w:rFonts w:hint="eastAsia" w:ascii="宋体" w:hAnsi="宋体" w:eastAsia="宋体" w:cs="宋体"/>
          <w:b/>
          <w:bCs/>
          <w:color w:val="auto"/>
          <w:sz w:val="28"/>
          <w:szCs w:val="28"/>
          <w:highlight w:val="none"/>
        </w:rPr>
        <w:t>采购代理服务费</w:t>
      </w:r>
      <w:r>
        <w:rPr>
          <w:rFonts w:hint="eastAsia" w:ascii="宋体" w:hAnsi="宋体" w:eastAsia="宋体" w:cs="宋体"/>
          <w:b/>
          <w:bCs/>
          <w:color w:val="auto"/>
          <w:sz w:val="28"/>
          <w:szCs w:val="28"/>
          <w:highlight w:val="none"/>
          <w:lang w:eastAsia="zh-CN"/>
        </w:rPr>
        <w:t>支付</w:t>
      </w:r>
      <w:r>
        <w:rPr>
          <w:rFonts w:hint="eastAsia" w:ascii="宋体" w:hAnsi="宋体" w:eastAsia="宋体" w:cs="宋体"/>
          <w:b/>
          <w:bCs/>
          <w:color w:val="auto"/>
          <w:sz w:val="28"/>
          <w:szCs w:val="28"/>
          <w:highlight w:val="none"/>
        </w:rPr>
        <w:t>承诺书</w:t>
      </w:r>
    </w:p>
    <w:p>
      <w:pPr>
        <w:jc w:val="center"/>
        <w:rPr>
          <w:rFonts w:hint="eastAsia" w:ascii="宋体" w:hAnsi="宋体" w:eastAsia="宋体" w:cs="宋体"/>
          <w:b/>
          <w:bCs/>
          <w:color w:val="auto"/>
          <w:sz w:val="24"/>
          <w:szCs w:val="24"/>
          <w:highlight w:val="none"/>
        </w:rPr>
      </w:pPr>
    </w:p>
    <w:p>
      <w:pPr>
        <w:jc w:val="center"/>
        <w:rPr>
          <w:rFonts w:hint="eastAsia" w:ascii="宋体" w:hAnsi="宋体" w:eastAsia="宋体" w:cs="宋体"/>
          <w:b/>
          <w:bCs/>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（采购代理名称）</w:t>
      </w:r>
      <w:r>
        <w:rPr>
          <w:rFonts w:hint="eastAsia" w:ascii="宋体" w:hAnsi="宋体" w:eastAsia="宋体" w:cs="宋体"/>
          <w:color w:val="auto"/>
          <w:sz w:val="24"/>
          <w:szCs w:val="24"/>
          <w:highlight w:val="none"/>
        </w:rPr>
        <w:t xml:space="preserve">  </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如果我方在贵公司组织的（项目名称：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采购包：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)项目采购中获中标，我方保证在收到《中标通知书》3个工作日内向贵公司交纳中标服务费和涉及本项目有关的其他费用。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我方如违约，愿凭贵公司开出的违约通知，按中标服务费的200</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接受处罚，从不予退还我方提交的投标保证金中支付，不足部分由采购人支付我方的中标合同款中代为扣付。</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spacing w:line="360" w:lineRule="auto"/>
        <w:ind w:firstLine="480" w:firstLineChars="200"/>
        <w:rPr>
          <w:rFonts w:hint="eastAsia" w:ascii="宋体" w:hAnsi="宋体" w:eastAsia="宋体" w:cs="宋体"/>
          <w:color w:val="auto"/>
          <w:sz w:val="24"/>
          <w:szCs w:val="24"/>
          <w:highlight w:val="none"/>
        </w:rPr>
      </w:pPr>
    </w:p>
    <w:p>
      <w:pPr>
        <w:spacing w:line="360" w:lineRule="auto"/>
        <w:ind w:firstLine="480" w:firstLineChars="200"/>
        <w:rPr>
          <w:rFonts w:hint="eastAsia" w:ascii="宋体" w:hAnsi="宋体" w:eastAsia="宋体" w:cs="宋体"/>
          <w:color w:val="auto"/>
          <w:sz w:val="24"/>
          <w:szCs w:val="24"/>
          <w:highlight w:val="none"/>
        </w:rPr>
      </w:pPr>
    </w:p>
    <w:p>
      <w:pPr>
        <w:spacing w:line="360" w:lineRule="auto"/>
        <w:jc w:val="righ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投标人法定名称（公章）；_____________________</w:t>
      </w:r>
    </w:p>
    <w:p>
      <w:pPr>
        <w:spacing w:line="360" w:lineRule="auto"/>
        <w:jc w:val="righ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投标人法定地址：_____________________</w:t>
      </w:r>
    </w:p>
    <w:p>
      <w:pPr>
        <w:spacing w:line="360" w:lineRule="auto"/>
        <w:jc w:val="righ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投标人授权代表（签字或盖章）：_____________________</w:t>
      </w:r>
    </w:p>
    <w:p>
      <w:pPr>
        <w:spacing w:line="360" w:lineRule="auto"/>
        <w:jc w:val="righ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电 话：_____________________</w:t>
      </w:r>
    </w:p>
    <w:p>
      <w:pPr>
        <w:spacing w:line="360" w:lineRule="auto"/>
        <w:jc w:val="righ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传 真：_____________________</w:t>
      </w:r>
    </w:p>
    <w:p>
      <w:pPr>
        <w:spacing w:line="360" w:lineRule="auto"/>
        <w:jc w:val="righ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承诺日期：_____________________</w:t>
      </w: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shd w:val="clear" w:color="auto" w:fill="auto"/>
        <w:spacing w:after="312" w:afterLines="100" w:line="360" w:lineRule="auto"/>
        <w:ind w:left="866" w:hanging="866" w:hangingChars="196"/>
        <w:jc w:val="center"/>
        <w:rPr>
          <w:rFonts w:hint="eastAsia" w:ascii="宋体" w:hAnsi="宋体" w:eastAsia="宋体" w:cs="宋体"/>
          <w:b/>
          <w:bCs/>
          <w:color w:val="auto"/>
          <w:kern w:val="0"/>
          <w:sz w:val="44"/>
          <w:szCs w:val="44"/>
          <w:highlight w:val="none"/>
        </w:rPr>
      </w:pPr>
      <w:bookmarkStart w:id="136" w:name="_Toc49329276"/>
      <w:bookmarkStart w:id="137" w:name="_Toc374378439"/>
      <w:r>
        <w:rPr>
          <w:rFonts w:hint="eastAsia" w:ascii="宋体" w:hAnsi="宋体" w:eastAsia="宋体" w:cs="宋体"/>
          <w:b/>
          <w:bCs/>
          <w:color w:val="auto"/>
          <w:kern w:val="0"/>
          <w:sz w:val="44"/>
          <w:szCs w:val="44"/>
          <w:highlight w:val="none"/>
        </w:rPr>
        <w:t>文件包装袋</w:t>
      </w:r>
      <w:bookmarkEnd w:id="136"/>
      <w:r>
        <w:rPr>
          <w:rFonts w:hint="eastAsia" w:ascii="宋体" w:hAnsi="宋体" w:eastAsia="宋体" w:cs="宋体"/>
          <w:b/>
          <w:bCs/>
          <w:color w:val="auto"/>
          <w:kern w:val="0"/>
          <w:sz w:val="44"/>
          <w:szCs w:val="44"/>
          <w:highlight w:val="none"/>
        </w:rPr>
        <w:t>封面标贴格式</w:t>
      </w:r>
      <w:bookmarkEnd w:id="137"/>
    </w:p>
    <w:tbl>
      <w:tblPr>
        <w:tblStyle w:val="54"/>
        <w:tblW w:w="0" w:type="auto"/>
        <w:jc w:val="center"/>
        <w:tblBorders>
          <w:top w:val="dashSmallGap" w:color="003366" w:sz="2" w:space="0"/>
          <w:left w:val="dashSmallGap" w:color="003366" w:sz="2" w:space="0"/>
          <w:bottom w:val="dashSmallGap" w:color="003366" w:sz="2" w:space="0"/>
          <w:right w:val="dashSmallGap" w:color="003366" w:sz="2" w:space="0"/>
          <w:insideH w:val="dashSmallGap" w:color="003366" w:sz="2" w:space="0"/>
          <w:insideV w:val="dashSmallGap" w:color="003366" w:sz="2" w:space="0"/>
        </w:tblBorders>
        <w:shd w:val="clear" w:color="auto" w:fill="EEECE1"/>
        <w:tblLayout w:type="fixed"/>
        <w:tblCellMar>
          <w:top w:w="0" w:type="dxa"/>
          <w:left w:w="108" w:type="dxa"/>
          <w:bottom w:w="0" w:type="dxa"/>
          <w:right w:w="108" w:type="dxa"/>
        </w:tblCellMar>
      </w:tblPr>
      <w:tblGrid>
        <w:gridCol w:w="8809"/>
      </w:tblGrid>
      <w:tr>
        <w:tblPrEx>
          <w:tblBorders>
            <w:top w:val="dashSmallGap" w:color="003366" w:sz="2" w:space="0"/>
            <w:left w:val="dashSmallGap" w:color="003366" w:sz="2" w:space="0"/>
            <w:bottom w:val="dashSmallGap" w:color="003366" w:sz="2" w:space="0"/>
            <w:right w:val="dashSmallGap" w:color="003366" w:sz="2" w:space="0"/>
            <w:insideH w:val="dashSmallGap" w:color="003366" w:sz="2" w:space="0"/>
            <w:insideV w:val="dashSmallGap" w:color="003366" w:sz="2" w:space="0"/>
          </w:tblBorders>
          <w:tblCellMar>
            <w:top w:w="0" w:type="dxa"/>
            <w:left w:w="108" w:type="dxa"/>
            <w:bottom w:w="0" w:type="dxa"/>
            <w:right w:w="108" w:type="dxa"/>
          </w:tblCellMar>
        </w:tblPrEx>
        <w:trPr>
          <w:trHeight w:val="7853" w:hRule="atLeast"/>
          <w:jc w:val="center"/>
        </w:trPr>
        <w:tc>
          <w:tcPr>
            <w:tcW w:w="8809" w:type="dxa"/>
            <w:shd w:val="clear" w:color="auto" w:fill="EEECE1"/>
            <w:noWrap w:val="0"/>
            <w:vAlign w:val="top"/>
          </w:tcPr>
          <w:p>
            <w:pPr>
              <w:shd w:val="clear" w:color="auto" w:fill="auto"/>
              <w:rPr>
                <w:rFonts w:hint="eastAsia" w:ascii="宋体" w:hAnsi="宋体" w:eastAsia="宋体" w:cs="宋体"/>
                <w:color w:val="auto"/>
                <w:kern w:val="0"/>
                <w:sz w:val="18"/>
                <w:szCs w:val="18"/>
                <w:highlight w:val="none"/>
              </w:rPr>
            </w:pPr>
          </w:p>
          <w:p>
            <w:pPr>
              <w:shd w:val="clear" w:color="auto" w:fill="auto"/>
              <w:spacing w:line="360" w:lineRule="auto"/>
              <w:jc w:val="center"/>
              <w:rPr>
                <w:rFonts w:hint="eastAsia" w:ascii="宋体" w:hAnsi="宋体" w:cs="宋体"/>
                <w:b/>
                <w:bCs/>
                <w:color w:val="auto"/>
                <w:kern w:val="0"/>
                <w:sz w:val="40"/>
                <w:szCs w:val="40"/>
                <w:highlight w:val="none"/>
                <w:lang w:eastAsia="zh-CN"/>
              </w:rPr>
            </w:pPr>
            <w:r>
              <w:rPr>
                <w:rFonts w:hint="eastAsia" w:ascii="宋体" w:hAnsi="宋体" w:cs="宋体"/>
                <w:b/>
                <w:bCs/>
                <w:color w:val="auto"/>
                <w:kern w:val="0"/>
                <w:sz w:val="40"/>
                <w:szCs w:val="40"/>
                <w:highlight w:val="none"/>
                <w:lang w:eastAsia="zh-CN"/>
              </w:rPr>
              <w:t>佛山市三水区国睿再生资源回收有限公司国睿冷库基础设施配套项目（第二次）</w:t>
            </w:r>
          </w:p>
          <w:p>
            <w:pPr>
              <w:shd w:val="clear" w:color="auto" w:fill="auto"/>
              <w:spacing w:line="240" w:lineRule="auto"/>
              <w:jc w:val="center"/>
              <w:rPr>
                <w:rFonts w:hint="eastAsia" w:ascii="宋体" w:hAnsi="宋体" w:cs="宋体"/>
                <w:b/>
                <w:bCs/>
                <w:color w:val="auto"/>
                <w:kern w:val="0"/>
                <w:sz w:val="22"/>
                <w:szCs w:val="22"/>
                <w:highlight w:val="none"/>
                <w:lang w:val="en-GB" w:eastAsia="zh-CN"/>
              </w:rPr>
            </w:pPr>
          </w:p>
          <w:p>
            <w:pPr>
              <w:shd w:val="clear" w:color="auto" w:fill="auto"/>
              <w:spacing w:line="360" w:lineRule="auto"/>
              <w:jc w:val="center"/>
              <w:rPr>
                <w:rFonts w:hint="eastAsia" w:ascii="宋体" w:hAnsi="宋体" w:eastAsia="宋体" w:cs="宋体"/>
                <w:b/>
                <w:bCs/>
                <w:color w:val="auto"/>
                <w:kern w:val="0"/>
                <w:sz w:val="72"/>
                <w:szCs w:val="72"/>
                <w:highlight w:val="none"/>
              </w:rPr>
            </w:pPr>
            <w:r>
              <w:rPr>
                <w:rFonts w:hint="eastAsia" w:ascii="宋体" w:hAnsi="宋体" w:eastAsia="宋体" w:cs="宋体"/>
                <w:b/>
                <w:bCs/>
                <w:color w:val="auto"/>
                <w:kern w:val="0"/>
                <w:sz w:val="72"/>
                <w:szCs w:val="72"/>
                <w:highlight w:val="none"/>
              </w:rPr>
              <w:t>投标文件</w:t>
            </w:r>
          </w:p>
          <w:p>
            <w:pPr>
              <w:shd w:val="clear" w:color="auto" w:fill="auto"/>
              <w:jc w:val="center"/>
              <w:rPr>
                <w:rFonts w:hint="eastAsia" w:ascii="宋体" w:hAnsi="宋体" w:eastAsia="宋体" w:cs="宋体"/>
                <w:b/>
                <w:bCs/>
                <w:color w:val="auto"/>
                <w:kern w:val="0"/>
                <w:sz w:val="24"/>
                <w:highlight w:val="none"/>
                <w:lang w:val="en-GB"/>
              </w:rPr>
            </w:pPr>
          </w:p>
          <w:p>
            <w:pPr>
              <w:shd w:val="clear" w:color="auto" w:fill="auto"/>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lang w:val="en-GB"/>
              </w:rPr>
              <w:t>密封内容：</w:t>
            </w:r>
            <w:r>
              <w:rPr>
                <w:rFonts w:hint="eastAsia" w:ascii="宋体" w:hAnsi="宋体" w:eastAsia="宋体" w:cs="宋体"/>
                <w:b/>
                <w:color w:val="auto"/>
                <w:kern w:val="0"/>
                <w:sz w:val="28"/>
                <w:szCs w:val="28"/>
                <w:highlight w:val="none"/>
              </w:rPr>
              <w:t xml:space="preserve">□ </w:t>
            </w:r>
            <w:r>
              <w:rPr>
                <w:rFonts w:hint="eastAsia" w:ascii="宋体" w:hAnsi="宋体" w:eastAsia="宋体" w:cs="宋体"/>
                <w:b/>
                <w:color w:val="auto"/>
                <w:kern w:val="0"/>
                <w:sz w:val="28"/>
                <w:szCs w:val="28"/>
                <w:highlight w:val="none"/>
                <w:lang w:val="en-GB"/>
              </w:rPr>
              <w:t>唱标信封/</w:t>
            </w:r>
            <w:r>
              <w:rPr>
                <w:rFonts w:hint="eastAsia" w:ascii="宋体" w:hAnsi="宋体" w:eastAsia="宋体" w:cs="宋体"/>
                <w:b/>
                <w:color w:val="auto"/>
                <w:kern w:val="0"/>
                <w:sz w:val="28"/>
                <w:szCs w:val="28"/>
                <w:highlight w:val="none"/>
              </w:rPr>
              <w:t xml:space="preserve"> □ 正本文件/ □ 副本文件/ □ 电子文件</w:t>
            </w:r>
          </w:p>
          <w:p>
            <w:pPr>
              <w:shd w:val="clear" w:color="auto" w:fill="auto"/>
              <w:spacing w:line="360" w:lineRule="auto"/>
              <w:jc w:val="center"/>
              <w:rPr>
                <w:rFonts w:hint="eastAsia" w:ascii="宋体" w:hAnsi="宋体" w:eastAsia="宋体" w:cs="宋体"/>
                <w:bCs/>
                <w:color w:val="auto"/>
                <w:kern w:val="0"/>
                <w:sz w:val="24"/>
                <w:szCs w:val="36"/>
                <w:highlight w:val="none"/>
                <w:lang w:val="en-GB"/>
              </w:rPr>
            </w:pPr>
            <w:r>
              <w:rPr>
                <w:rFonts w:hint="eastAsia" w:ascii="宋体" w:hAnsi="宋体" w:eastAsia="宋体" w:cs="宋体"/>
                <w:bCs/>
                <w:color w:val="auto"/>
                <w:kern w:val="0"/>
                <w:sz w:val="24"/>
                <w:szCs w:val="36"/>
                <w:highlight w:val="none"/>
                <w:lang w:val="en-GB"/>
              </w:rPr>
              <w:t>请投标单位根据递交文件的内容，相应在上“□”处中打“√”</w:t>
            </w:r>
          </w:p>
          <w:p>
            <w:pPr>
              <w:shd w:val="clear" w:color="auto" w:fill="auto"/>
              <w:ind w:firstLine="2474" w:firstLineChars="1027"/>
              <w:rPr>
                <w:rFonts w:hint="eastAsia" w:ascii="宋体" w:hAnsi="宋体" w:eastAsia="宋体" w:cs="宋体"/>
                <w:b/>
                <w:color w:val="auto"/>
                <w:kern w:val="0"/>
                <w:sz w:val="24"/>
                <w:szCs w:val="36"/>
                <w:highlight w:val="none"/>
                <w:lang w:val="en-GB"/>
              </w:rPr>
            </w:pPr>
          </w:p>
          <w:p>
            <w:pPr>
              <w:shd w:val="clear" w:color="auto" w:fill="auto"/>
              <w:spacing w:line="360" w:lineRule="auto"/>
              <w:ind w:left="2320" w:leftChars="500" w:right="145" w:rightChars="69" w:hanging="1270" w:hangingChars="527"/>
              <w:jc w:val="left"/>
              <w:rPr>
                <w:rFonts w:hint="eastAsia" w:ascii="宋体" w:hAnsi="宋体" w:cs="宋体"/>
                <w:b/>
                <w:bCs/>
                <w:color w:val="auto"/>
                <w:kern w:val="0"/>
                <w:sz w:val="24"/>
                <w:highlight w:val="none"/>
                <w:lang w:eastAsia="zh-CN"/>
              </w:rPr>
            </w:pPr>
            <w:r>
              <w:rPr>
                <w:rFonts w:hint="eastAsia" w:ascii="宋体" w:hAnsi="宋体" w:eastAsia="宋体" w:cs="宋体"/>
                <w:b/>
                <w:bCs/>
                <w:color w:val="auto"/>
                <w:kern w:val="0"/>
                <w:sz w:val="24"/>
                <w:highlight w:val="none"/>
              </w:rPr>
              <w:t>项目名称</w:t>
            </w:r>
            <w:r>
              <w:rPr>
                <w:rFonts w:hint="eastAsia" w:ascii="宋体" w:hAnsi="宋体" w:eastAsia="宋体" w:cs="宋体"/>
                <w:b/>
                <w:bCs/>
                <w:color w:val="auto"/>
                <w:kern w:val="0"/>
                <w:sz w:val="24"/>
                <w:highlight w:val="none"/>
                <w:lang w:val="en-GB"/>
              </w:rPr>
              <w:t>：</w:t>
            </w:r>
            <w:r>
              <w:rPr>
                <w:rFonts w:hint="eastAsia" w:ascii="宋体" w:hAnsi="宋体" w:cs="宋体"/>
                <w:b/>
                <w:bCs/>
                <w:color w:val="auto"/>
                <w:kern w:val="0"/>
                <w:sz w:val="24"/>
                <w:highlight w:val="none"/>
                <w:lang w:eastAsia="zh-CN"/>
              </w:rPr>
              <w:t>佛山市三水区国睿再生资源回收有限公司国睿冷库基础设施配套项目（第二次）</w:t>
            </w:r>
          </w:p>
          <w:p>
            <w:pPr>
              <w:shd w:val="clear" w:color="auto" w:fill="auto"/>
              <w:spacing w:line="360" w:lineRule="auto"/>
              <w:ind w:left="2320" w:leftChars="500" w:right="145" w:rightChars="69" w:hanging="1270" w:hangingChars="527"/>
              <w:jc w:val="left"/>
              <w:rPr>
                <w:rFonts w:hint="eastAsia" w:ascii="宋体" w:hAnsi="宋体" w:cs="宋体"/>
                <w:b/>
                <w:bCs/>
                <w:color w:val="auto"/>
                <w:kern w:val="0"/>
                <w:sz w:val="24"/>
                <w:highlight w:val="none"/>
                <w:lang w:val="en-GB" w:eastAsia="zh-CN"/>
              </w:rPr>
            </w:pPr>
            <w:r>
              <w:rPr>
                <w:rFonts w:hint="eastAsia" w:ascii="宋体" w:hAnsi="宋体" w:cs="宋体"/>
                <w:b/>
                <w:bCs/>
                <w:color w:val="auto"/>
                <w:kern w:val="0"/>
                <w:sz w:val="24"/>
                <w:highlight w:val="none"/>
                <w:lang w:eastAsia="zh-CN"/>
              </w:rPr>
              <w:t>采购包：</w:t>
            </w:r>
          </w:p>
          <w:p>
            <w:pPr>
              <w:shd w:val="clear" w:color="auto" w:fill="auto"/>
              <w:spacing w:line="360" w:lineRule="auto"/>
              <w:ind w:firstLine="1063" w:firstLineChars="441"/>
              <w:jc w:val="left"/>
              <w:rPr>
                <w:rFonts w:hint="eastAsia" w:ascii="宋体" w:hAnsi="宋体" w:eastAsia="宋体" w:cs="宋体"/>
                <w:b/>
                <w:bCs/>
                <w:color w:val="auto"/>
                <w:kern w:val="0"/>
                <w:sz w:val="24"/>
                <w:highlight w:val="none"/>
                <w:lang w:eastAsia="zh-CN"/>
              </w:rPr>
            </w:pPr>
            <w:r>
              <w:rPr>
                <w:rFonts w:hint="eastAsia" w:ascii="宋体" w:hAnsi="宋体" w:eastAsia="宋体" w:cs="宋体"/>
                <w:b/>
                <w:color w:val="auto"/>
                <w:kern w:val="0"/>
                <w:sz w:val="24"/>
                <w:highlight w:val="none"/>
                <w:lang w:val="en-GB"/>
              </w:rPr>
              <w:t>项目编号：</w:t>
            </w:r>
            <w:r>
              <w:rPr>
                <w:rFonts w:hint="eastAsia" w:ascii="宋体" w:hAnsi="宋体" w:cs="宋体"/>
                <w:b/>
                <w:color w:val="auto"/>
                <w:kern w:val="0"/>
                <w:sz w:val="24"/>
                <w:highlight w:val="none"/>
                <w:lang w:val="en-GB" w:eastAsia="zh-CN"/>
              </w:rPr>
              <w:t>JXGC-2023（SS）1201</w:t>
            </w:r>
          </w:p>
          <w:p>
            <w:pPr>
              <w:shd w:val="clear" w:color="auto" w:fill="auto"/>
              <w:ind w:firstLine="0" w:firstLineChars="0"/>
              <w:rPr>
                <w:rFonts w:hint="eastAsia" w:ascii="宋体" w:hAnsi="宋体" w:eastAsia="宋体" w:cs="宋体"/>
                <w:b/>
                <w:bCs/>
                <w:color w:val="auto"/>
                <w:kern w:val="0"/>
                <w:sz w:val="24"/>
                <w:highlight w:val="none"/>
              </w:rPr>
            </w:pPr>
          </w:p>
          <w:p>
            <w:pPr>
              <w:shd w:val="clear" w:color="auto" w:fill="auto"/>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8"/>
                <w:highlight w:val="none"/>
              </w:rPr>
              <w:t>投 标 人：</w:t>
            </w:r>
            <w:r>
              <w:rPr>
                <w:rFonts w:hint="eastAsia" w:ascii="宋体" w:hAnsi="宋体" w:eastAsia="宋体" w:cs="宋体"/>
                <w:b/>
                <w:bCs/>
                <w:color w:val="auto"/>
                <w:kern w:val="0"/>
                <w:sz w:val="28"/>
                <w:highlight w:val="none"/>
                <w:u w:val="single"/>
              </w:rPr>
              <w:t xml:space="preserve">                      (加盖</w:t>
            </w:r>
            <w:r>
              <w:rPr>
                <w:rFonts w:hint="eastAsia" w:ascii="宋体" w:hAnsi="宋体" w:cs="宋体"/>
                <w:b/>
                <w:bCs/>
                <w:color w:val="auto"/>
                <w:kern w:val="0"/>
                <w:sz w:val="28"/>
                <w:highlight w:val="none"/>
                <w:u w:val="single"/>
                <w:lang w:eastAsia="zh-CN"/>
              </w:rPr>
              <w:t>投标人</w:t>
            </w:r>
            <w:r>
              <w:rPr>
                <w:rFonts w:hint="eastAsia" w:ascii="宋体" w:hAnsi="宋体" w:eastAsia="宋体" w:cs="宋体"/>
                <w:b/>
                <w:bCs/>
                <w:color w:val="auto"/>
                <w:kern w:val="0"/>
                <w:sz w:val="28"/>
                <w:highlight w:val="none"/>
                <w:u w:val="single"/>
              </w:rPr>
              <w:t>法人公章)</w:t>
            </w:r>
          </w:p>
          <w:p>
            <w:pPr>
              <w:shd w:val="clear" w:color="auto" w:fill="auto"/>
              <w:jc w:val="center"/>
              <w:rPr>
                <w:rFonts w:hint="eastAsia" w:ascii="宋体" w:hAnsi="宋体" w:eastAsia="宋体" w:cs="宋体"/>
                <w:b/>
                <w:bCs/>
                <w:color w:val="auto"/>
                <w:kern w:val="0"/>
                <w:sz w:val="24"/>
                <w:highlight w:val="none"/>
              </w:rPr>
            </w:pPr>
          </w:p>
          <w:p>
            <w:pPr>
              <w:shd w:val="clear" w:color="auto" w:fill="auto"/>
              <w:spacing w:after="156" w:afterLines="5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在开标时间到达之前不得启封</w:t>
            </w:r>
          </w:p>
          <w:p>
            <w:pPr>
              <w:shd w:val="clear" w:color="auto" w:fill="auto"/>
              <w:jc w:val="center"/>
              <w:rPr>
                <w:rFonts w:hint="eastAsia" w:ascii="宋体" w:hAnsi="宋体" w:eastAsia="宋体" w:cs="宋体"/>
                <w:color w:val="auto"/>
                <w:kern w:val="0"/>
                <w:sz w:val="24"/>
                <w:highlight w:val="none"/>
              </w:rPr>
            </w:pPr>
            <w:r>
              <w:rPr>
                <w:rFonts w:hint="eastAsia" w:ascii="宋体" w:hAnsi="宋体" w:eastAsia="宋体" w:cs="宋体"/>
                <w:b/>
                <w:bCs/>
                <w:color w:val="auto"/>
                <w:kern w:val="0"/>
                <w:szCs w:val="21"/>
                <w:highlight w:val="none"/>
              </w:rPr>
              <w:t>递交地点：佛山市三水区西南街道同福路10号区行政服务中心大院3号楼3</w:t>
            </w:r>
            <w:r>
              <w:rPr>
                <w:rFonts w:hint="eastAsia" w:ascii="宋体" w:hAnsi="宋体" w:cs="宋体"/>
                <w:b/>
                <w:bCs/>
                <w:color w:val="auto"/>
                <w:kern w:val="0"/>
                <w:szCs w:val="21"/>
                <w:highlight w:val="none"/>
                <w:lang w:val="en-US" w:eastAsia="zh-CN"/>
              </w:rPr>
              <w:t>11</w:t>
            </w:r>
            <w:r>
              <w:rPr>
                <w:rFonts w:hint="eastAsia" w:ascii="宋体" w:hAnsi="宋体" w:eastAsia="宋体" w:cs="宋体"/>
                <w:b/>
                <w:bCs/>
                <w:color w:val="auto"/>
                <w:kern w:val="0"/>
                <w:szCs w:val="21"/>
                <w:highlight w:val="none"/>
              </w:rPr>
              <w:t xml:space="preserve"> </w:t>
            </w:r>
          </w:p>
        </w:tc>
      </w:tr>
    </w:tbl>
    <w:p>
      <w:pPr>
        <w:pStyle w:val="118"/>
        <w:shd w:val="clear" w:color="auto" w:fill="auto"/>
        <w:rPr>
          <w:rFonts w:hint="eastAsia" w:ascii="宋体" w:hAnsi="宋体" w:eastAsia="宋体" w:cs="宋体"/>
          <w:color w:val="auto"/>
          <w:spacing w:val="0"/>
          <w:highlight w:val="none"/>
        </w:rPr>
      </w:pPr>
    </w:p>
    <w:p>
      <w:pPr>
        <w:numPr>
          <w:ilvl w:val="0"/>
          <w:numId w:val="78"/>
        </w:numPr>
        <w:shd w:val="clear" w:color="auto" w:fill="auto"/>
        <w:spacing w:before="312" w:beforeLines="100" w:line="300" w:lineRule="auto"/>
        <w:ind w:hanging="418"/>
        <w:rPr>
          <w:rFonts w:hint="eastAsia" w:ascii="宋体" w:hAnsi="宋体" w:eastAsia="宋体" w:cs="宋体"/>
          <w:b/>
          <w:bCs/>
          <w:color w:val="auto"/>
          <w:kern w:val="0"/>
          <w:sz w:val="24"/>
          <w:highlight w:val="none"/>
          <w:lang w:val="en-GB"/>
        </w:rPr>
      </w:pPr>
      <w:r>
        <w:rPr>
          <w:rFonts w:hint="eastAsia" w:ascii="宋体" w:hAnsi="宋体" w:eastAsia="宋体" w:cs="宋体"/>
          <w:b/>
          <w:bCs/>
          <w:color w:val="auto"/>
          <w:kern w:val="0"/>
          <w:sz w:val="24"/>
          <w:highlight w:val="none"/>
          <w:lang w:val="en-GB"/>
        </w:rPr>
        <w:t>唱标信封另单独封装并须包括以下内容：</w:t>
      </w:r>
    </w:p>
    <w:p>
      <w:pPr>
        <w:numPr>
          <w:ilvl w:val="0"/>
          <w:numId w:val="79"/>
        </w:numPr>
        <w:shd w:val="clear" w:color="auto" w:fill="auto"/>
        <w:spacing w:line="300" w:lineRule="auto"/>
        <w:ind w:left="709"/>
        <w:rPr>
          <w:rFonts w:hint="eastAsia" w:ascii="宋体" w:hAnsi="宋体" w:eastAsia="宋体" w:cs="宋体"/>
          <w:b w:val="0"/>
          <w:color w:val="auto"/>
          <w:kern w:val="0"/>
          <w:sz w:val="24"/>
          <w:highlight w:val="none"/>
          <w:u w:val="none"/>
          <w:lang w:val="en-GB"/>
        </w:rPr>
      </w:pPr>
      <w:r>
        <w:rPr>
          <w:rFonts w:hint="eastAsia" w:ascii="宋体" w:hAnsi="宋体" w:eastAsia="宋体" w:cs="宋体"/>
          <w:color w:val="auto"/>
          <w:kern w:val="0"/>
          <w:sz w:val="24"/>
          <w:highlight w:val="none"/>
          <w:lang w:val="en-GB" w:eastAsia="zh-CN"/>
        </w:rPr>
        <w:t>开标一览表（报价表）</w:t>
      </w:r>
      <w:r>
        <w:rPr>
          <w:rFonts w:hint="eastAsia" w:ascii="宋体" w:hAnsi="宋体" w:eastAsia="宋体" w:cs="宋体"/>
          <w:color w:val="auto"/>
          <w:kern w:val="0"/>
          <w:sz w:val="24"/>
          <w:highlight w:val="none"/>
          <w:lang w:val="en-GB"/>
        </w:rPr>
        <w:t xml:space="preserve"> </w:t>
      </w:r>
      <w:r>
        <w:rPr>
          <w:rFonts w:hint="eastAsia" w:ascii="宋体" w:hAnsi="宋体" w:eastAsia="宋体" w:cs="宋体"/>
          <w:b w:val="0"/>
          <w:color w:val="auto"/>
          <w:kern w:val="0"/>
          <w:sz w:val="24"/>
          <w:highlight w:val="none"/>
          <w:u w:val="none"/>
          <w:lang w:val="en-GB"/>
        </w:rPr>
        <w:t>原件。</w:t>
      </w:r>
    </w:p>
    <w:p>
      <w:pPr>
        <w:numPr>
          <w:ilvl w:val="0"/>
          <w:numId w:val="79"/>
        </w:numPr>
        <w:shd w:val="clear" w:color="auto" w:fill="auto"/>
        <w:spacing w:line="300" w:lineRule="auto"/>
        <w:ind w:left="709"/>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投标保证金</w:t>
      </w:r>
      <w:r>
        <w:rPr>
          <w:rFonts w:hint="eastAsia" w:ascii="宋体" w:hAnsi="宋体" w:eastAsia="宋体" w:cs="宋体"/>
          <w:color w:val="auto"/>
          <w:kern w:val="0"/>
          <w:sz w:val="24"/>
          <w:highlight w:val="none"/>
          <w:lang w:val="en-GB" w:eastAsia="zh-CN"/>
        </w:rPr>
        <w:t>缴纳</w:t>
      </w:r>
      <w:r>
        <w:rPr>
          <w:rFonts w:hint="eastAsia" w:ascii="宋体" w:hAnsi="宋体" w:eastAsia="宋体" w:cs="宋体"/>
          <w:color w:val="auto"/>
          <w:kern w:val="0"/>
          <w:sz w:val="24"/>
          <w:highlight w:val="none"/>
          <w:lang w:val="en-GB"/>
        </w:rPr>
        <w:t>凭证。</w:t>
      </w:r>
    </w:p>
    <w:p>
      <w:pPr>
        <w:pStyle w:val="118"/>
        <w:shd w:val="clear" w:color="auto" w:fill="auto"/>
        <w:rPr>
          <w:rFonts w:hint="eastAsia" w:ascii="宋体" w:hAnsi="宋体" w:eastAsia="宋体" w:cs="宋体"/>
          <w:color w:val="auto"/>
          <w:spacing w:val="0"/>
          <w:highlight w:val="none"/>
        </w:rPr>
      </w:pPr>
    </w:p>
    <w:p>
      <w:pPr>
        <w:numPr>
          <w:ilvl w:val="0"/>
          <w:numId w:val="78"/>
        </w:numPr>
        <w:shd w:val="clear" w:color="auto" w:fill="auto"/>
        <w:spacing w:before="312" w:beforeLines="100" w:line="300" w:lineRule="auto"/>
        <w:ind w:hanging="418"/>
        <w:rPr>
          <w:rFonts w:hint="eastAsia" w:ascii="宋体" w:hAnsi="宋体" w:eastAsia="宋体" w:cs="宋体"/>
          <w:b/>
          <w:bCs/>
          <w:color w:val="auto"/>
          <w:kern w:val="0"/>
          <w:sz w:val="24"/>
          <w:highlight w:val="none"/>
          <w:lang w:val="en-GB"/>
        </w:rPr>
      </w:pPr>
      <w:r>
        <w:rPr>
          <w:rFonts w:hint="eastAsia" w:ascii="宋体" w:hAnsi="宋体" w:eastAsia="宋体" w:cs="宋体"/>
          <w:b/>
          <w:bCs/>
          <w:color w:val="auto"/>
          <w:kern w:val="0"/>
          <w:sz w:val="24"/>
          <w:highlight w:val="none"/>
          <w:lang w:val="en-GB"/>
        </w:rPr>
        <w:t>重要提示：</w:t>
      </w:r>
    </w:p>
    <w:p>
      <w:pPr>
        <w:numPr>
          <w:ilvl w:val="0"/>
          <w:numId w:val="80"/>
        </w:numPr>
        <w:shd w:val="clear" w:color="auto" w:fill="auto"/>
        <w:tabs>
          <w:tab w:val="left" w:pos="900"/>
          <w:tab w:val="clear" w:pos="780"/>
        </w:tabs>
        <w:spacing w:line="300" w:lineRule="auto"/>
        <w:ind w:left="538" w:leftChars="256"/>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唱标信封、电子文件、投标文件（正副本）必须分开单独密封，并应在规定时间内同时递交，包装文件的封口处须加盖</w:t>
      </w:r>
      <w:r>
        <w:rPr>
          <w:rFonts w:hint="eastAsia" w:ascii="宋体" w:hAnsi="宋体" w:cs="宋体"/>
          <w:color w:val="auto"/>
          <w:kern w:val="0"/>
          <w:sz w:val="24"/>
          <w:highlight w:val="none"/>
          <w:lang w:val="en-GB" w:eastAsia="zh-CN"/>
        </w:rPr>
        <w:t>投标人</w:t>
      </w:r>
      <w:r>
        <w:rPr>
          <w:rFonts w:hint="eastAsia" w:ascii="宋体" w:hAnsi="宋体" w:eastAsia="宋体" w:cs="宋体"/>
          <w:color w:val="auto"/>
          <w:kern w:val="0"/>
          <w:sz w:val="24"/>
          <w:highlight w:val="none"/>
          <w:lang w:val="en-GB"/>
        </w:rPr>
        <w:t>公章或授权代表签名。</w:t>
      </w:r>
    </w:p>
    <w:p>
      <w:pPr>
        <w:numPr>
          <w:ilvl w:val="0"/>
          <w:numId w:val="80"/>
        </w:numPr>
        <w:shd w:val="clear" w:color="auto" w:fill="auto"/>
        <w:tabs>
          <w:tab w:val="left" w:pos="900"/>
          <w:tab w:val="clear" w:pos="780"/>
        </w:tabs>
        <w:spacing w:line="300" w:lineRule="auto"/>
        <w:ind w:left="601" w:leftChars="257" w:hanging="61"/>
        <w:rPr>
          <w:rFonts w:hint="eastAsia" w:ascii="宋体" w:hAnsi="宋体" w:eastAsia="宋体" w:cs="宋体"/>
          <w:color w:val="auto"/>
          <w:kern w:val="0"/>
          <w:sz w:val="24"/>
          <w:highlight w:val="none"/>
          <w:lang w:val="en-GB"/>
        </w:rPr>
      </w:pPr>
      <w:r>
        <w:rPr>
          <w:rFonts w:hint="eastAsia" w:ascii="宋体" w:hAnsi="宋体" w:eastAsia="宋体" w:cs="宋体"/>
          <w:color w:val="auto"/>
          <w:kern w:val="0"/>
          <w:sz w:val="24"/>
          <w:highlight w:val="none"/>
          <w:lang w:val="en-GB"/>
        </w:rPr>
        <w:t>因交通及停车或有不便，递交投标文件时务请</w:t>
      </w:r>
      <w:r>
        <w:rPr>
          <w:rFonts w:hint="eastAsia" w:ascii="宋体" w:hAnsi="宋体" w:eastAsia="宋体" w:cs="宋体"/>
          <w:b/>
          <w:color w:val="auto"/>
          <w:kern w:val="0"/>
          <w:sz w:val="24"/>
          <w:highlight w:val="none"/>
          <w:u w:val="single"/>
          <w:lang w:val="en-GB"/>
        </w:rPr>
        <w:t>提早到达</w:t>
      </w:r>
      <w:r>
        <w:rPr>
          <w:rFonts w:hint="eastAsia" w:ascii="宋体" w:hAnsi="宋体" w:eastAsia="宋体" w:cs="宋体"/>
          <w:color w:val="auto"/>
          <w:kern w:val="0"/>
          <w:sz w:val="24"/>
          <w:highlight w:val="none"/>
          <w:lang w:val="en-GB"/>
        </w:rPr>
        <w:t>！</w:t>
      </w:r>
    </w:p>
    <w:sectPr>
      <w:footerReference r:id="rId6" w:type="default"/>
      <w:pgSz w:w="11905" w:h="16838"/>
      <w:pgMar w:top="1361" w:right="1247" w:bottom="1361" w:left="1247" w:header="850" w:footer="822" w:gutter="0"/>
      <w:pgBorders>
        <w:top w:val="none" w:sz="0" w:space="0"/>
        <w:left w:val="none" w:sz="0" w:space="0"/>
        <w:bottom w:val="none" w:sz="0" w:space="0"/>
        <w:right w:val="none" w:sz="0" w:space="0"/>
      </w:pgBorders>
      <w:pgNumType w:fmt="decimal" w:start="1"/>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Arial Unicode MS">
    <w:altName w:val="宋体"/>
    <w:panose1 w:val="020B0604020002020204"/>
    <w:charset w:val="7A"/>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LucidaSans">
    <w:altName w:val="Times New Roman"/>
    <w:panose1 w:val="020B0604020002020204"/>
    <w:charset w:val="00"/>
    <w:family w:val="auto"/>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2000009F" w:csb1="DFD70000"/>
  </w:font>
  <w:font w:name="_x000B__x000C_">
    <w:altName w:val="Times New Roman"/>
    <w:panose1 w:val="00000609030001010101"/>
    <w:charset w:val="01"/>
    <w:family w:val="roman"/>
    <w:pitch w:val="default"/>
    <w:sig w:usb0="00000000" w:usb1="00000000" w:usb2="00720075" w:usb3="00000065" w:csb0="00000000" w:csb1="00700000"/>
  </w:font>
  <w:font w:name="华文中宋">
    <w:altName w:val="宋体"/>
    <w:panose1 w:val="02010600040101010101"/>
    <w:charset w:val="7A"/>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等线">
    <w:panose1 w:val="02010600030101010101"/>
    <w:charset w:val="7A"/>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Century Gothic">
    <w:altName w:val="Yu Gothic UI"/>
    <w:panose1 w:val="020B0502020202020204"/>
    <w:charset w:val="00"/>
    <w:family w:val="swiss"/>
    <w:pitch w:val="default"/>
    <w:sig w:usb0="00000000" w:usb1="00000000" w:usb2="00000000" w:usb3="00000000" w:csb0="2000009F" w:csb1="DFD7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right" w:pos="8640"/>
        <w:tab w:val="clear" w:pos="8306"/>
      </w:tabs>
      <w:ind w:right="-176" w:rightChars="-84"/>
      <w:jc w:val="center"/>
    </w:pPr>
    <w:r>
      <w:rPr>
        <w:rFonts w:hint="eastAsia"/>
      </w:rPr>
      <w:t xml:space="preserve">                                                         </w:t>
    </w:r>
    <w:r>
      <w:rPr>
        <w:rFonts w:hint="eastAsia"/>
        <w:lang w:val="en-US" w:eastAsia="zh-CN"/>
      </w:rPr>
      <w:t xml:space="preserve">       </w:t>
    </w:r>
    <w:r>
      <w:rPr>
        <w:rFonts w:hint="eastAsia"/>
      </w:rPr>
      <w:t xml:space="preserve"> </w:t>
    </w:r>
    <w:r>
      <w:rPr>
        <w:rFonts w:hint="eastAsia"/>
        <w:lang w:eastAsia="zh-CN"/>
      </w:rPr>
      <w:t>广东杰信项目管理有限公司</w:t>
    </w:r>
    <w:r>
      <w:rPr>
        <w:rFonts w:hint="eastAsia"/>
      </w:rPr>
      <w:t xml:space="preserve">  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5"/>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EeL1Cd8BAAC/AwAADgAAAAAA&#10;AAABACAAAAAeAQAAZHJzL2Uyb0RvYy54bWxQSwUGAAAAAAYABgBZAQAAbwUAAAAA&#10;">
              <v:fill on="f" focussize="0,0"/>
              <v:stroke on="f"/>
              <v:imagedata o:title=""/>
              <o:lock v:ext="edit" aspectratio="f"/>
              <v:textbox inset="0mm,0mm,0mm,0mm" style="mso-fit-shape-to-text:t;">
                <w:txbxContent>
                  <w:p>
                    <w:pPr>
                      <w:pStyle w:val="35"/>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both"/>
      <w:rPr>
        <w:rFonts w:hint="eastAsia" w:ascii="宋体" w:hAnsi="宋体" w:cs="宋体"/>
        <w:sz w:val="20"/>
        <w:szCs w:val="20"/>
        <w:u w:val="none"/>
      </w:rPr>
    </w:pPr>
    <w:r>
      <w:rPr>
        <w:rFonts w:hint="eastAsia" w:ascii="宋体" w:hAnsi="宋体" w:cs="宋体"/>
        <w:b w:val="0"/>
        <w:bCs w:val="0"/>
        <w:color w:val="auto"/>
        <w:sz w:val="21"/>
        <w:szCs w:val="21"/>
        <w:highlight w:val="none"/>
        <w:lang w:eastAsia="zh-CN"/>
      </w:rPr>
      <w:t>佛山市三水区国睿再生资源回收有限公司国睿冷库基础设施配套项目（第二次）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75C27"/>
    <w:multiLevelType w:val="singleLevel"/>
    <w:tmpl w:val="80275C27"/>
    <w:lvl w:ilvl="0" w:tentative="0">
      <w:start w:val="1"/>
      <w:numFmt w:val="chineseCounting"/>
      <w:suff w:val="nothing"/>
      <w:lvlText w:val="%1、"/>
      <w:lvlJc w:val="left"/>
      <w:pPr>
        <w:ind w:left="0" w:firstLine="0"/>
      </w:pPr>
      <w:rPr>
        <w:rFonts w:hint="eastAsia"/>
      </w:rPr>
    </w:lvl>
  </w:abstractNum>
  <w:abstractNum w:abstractNumId="1">
    <w:nsid w:val="84FBA68A"/>
    <w:multiLevelType w:val="singleLevel"/>
    <w:tmpl w:val="84FBA68A"/>
    <w:lvl w:ilvl="0" w:tentative="0">
      <w:start w:val="1"/>
      <w:numFmt w:val="decimal"/>
      <w:lvlText w:val="(%1)"/>
      <w:lvlJc w:val="left"/>
      <w:pPr>
        <w:ind w:left="425" w:hanging="425"/>
      </w:pPr>
      <w:rPr>
        <w:rFonts w:hint="default"/>
      </w:rPr>
    </w:lvl>
  </w:abstractNum>
  <w:abstractNum w:abstractNumId="2">
    <w:nsid w:val="8FC5C69A"/>
    <w:multiLevelType w:val="singleLevel"/>
    <w:tmpl w:val="8FC5C69A"/>
    <w:lvl w:ilvl="0" w:tentative="0">
      <w:start w:val="1"/>
      <w:numFmt w:val="decimal"/>
      <w:suff w:val="nothing"/>
      <w:lvlText w:val="%1、"/>
      <w:lvlJc w:val="left"/>
      <w:pPr>
        <w:ind w:left="0" w:firstLine="403"/>
      </w:pPr>
      <w:rPr>
        <w:rFonts w:hint="default"/>
      </w:rPr>
    </w:lvl>
  </w:abstractNum>
  <w:abstractNum w:abstractNumId="3">
    <w:nsid w:val="9C786327"/>
    <w:multiLevelType w:val="singleLevel"/>
    <w:tmpl w:val="9C786327"/>
    <w:lvl w:ilvl="0" w:tentative="0">
      <w:start w:val="1"/>
      <w:numFmt w:val="decimal"/>
      <w:suff w:val="nothing"/>
      <w:lvlText w:val="%1、"/>
      <w:lvlJc w:val="left"/>
    </w:lvl>
  </w:abstractNum>
  <w:abstractNum w:abstractNumId="4">
    <w:nsid w:val="A1ACE5B0"/>
    <w:multiLevelType w:val="singleLevel"/>
    <w:tmpl w:val="A1ACE5B0"/>
    <w:lvl w:ilvl="0" w:tentative="0">
      <w:start w:val="1"/>
      <w:numFmt w:val="decimal"/>
      <w:suff w:val="nothing"/>
      <w:lvlText w:val="%1、"/>
      <w:lvlJc w:val="left"/>
      <w:pPr>
        <w:ind w:left="0" w:firstLine="403"/>
      </w:pPr>
      <w:rPr>
        <w:rFonts w:hint="default"/>
      </w:rPr>
    </w:lvl>
  </w:abstractNum>
  <w:abstractNum w:abstractNumId="5">
    <w:nsid w:val="A98DE8C3"/>
    <w:multiLevelType w:val="singleLevel"/>
    <w:tmpl w:val="A98DE8C3"/>
    <w:lvl w:ilvl="0" w:tentative="0">
      <w:start w:val="1"/>
      <w:numFmt w:val="decimal"/>
      <w:lvlText w:val="%1."/>
      <w:lvlJc w:val="left"/>
      <w:pPr>
        <w:tabs>
          <w:tab w:val="left" w:pos="312"/>
        </w:tabs>
      </w:pPr>
    </w:lvl>
  </w:abstractNum>
  <w:abstractNum w:abstractNumId="6">
    <w:nsid w:val="AB65AC18"/>
    <w:multiLevelType w:val="singleLevel"/>
    <w:tmpl w:val="AB65AC18"/>
    <w:lvl w:ilvl="0" w:tentative="0">
      <w:start w:val="1"/>
      <w:numFmt w:val="decimal"/>
      <w:suff w:val="nothing"/>
      <w:lvlText w:val="%1"/>
      <w:lvlJc w:val="center"/>
      <w:pPr>
        <w:tabs>
          <w:tab w:val="left" w:pos="0"/>
        </w:tabs>
        <w:ind w:left="0" w:firstLine="0"/>
      </w:pPr>
      <w:rPr>
        <w:rFonts w:hint="default"/>
      </w:rPr>
    </w:lvl>
  </w:abstractNum>
  <w:abstractNum w:abstractNumId="7">
    <w:nsid w:val="BD8044B5"/>
    <w:multiLevelType w:val="singleLevel"/>
    <w:tmpl w:val="BD8044B5"/>
    <w:lvl w:ilvl="0" w:tentative="0">
      <w:start w:val="1"/>
      <w:numFmt w:val="decimal"/>
      <w:lvlText w:val="(%1)"/>
      <w:lvlJc w:val="left"/>
      <w:pPr>
        <w:ind w:left="425" w:hanging="425"/>
      </w:pPr>
      <w:rPr>
        <w:rFonts w:hint="default"/>
      </w:rPr>
    </w:lvl>
  </w:abstractNum>
  <w:abstractNum w:abstractNumId="8">
    <w:nsid w:val="C0586D53"/>
    <w:multiLevelType w:val="singleLevel"/>
    <w:tmpl w:val="C0586D53"/>
    <w:lvl w:ilvl="0" w:tentative="0">
      <w:start w:val="1"/>
      <w:numFmt w:val="decimal"/>
      <w:suff w:val="nothing"/>
      <w:lvlText w:val="%1、"/>
      <w:lvlJc w:val="left"/>
      <w:pPr>
        <w:ind w:left="0" w:firstLine="403"/>
      </w:pPr>
      <w:rPr>
        <w:rFonts w:hint="default"/>
      </w:rPr>
    </w:lvl>
  </w:abstractNum>
  <w:abstractNum w:abstractNumId="9">
    <w:nsid w:val="D330807B"/>
    <w:multiLevelType w:val="singleLevel"/>
    <w:tmpl w:val="D330807B"/>
    <w:lvl w:ilvl="0" w:tentative="0">
      <w:start w:val="1"/>
      <w:numFmt w:val="decimal"/>
      <w:suff w:val="nothing"/>
      <w:lvlText w:val="%1、"/>
      <w:lvlJc w:val="left"/>
    </w:lvl>
  </w:abstractNum>
  <w:abstractNum w:abstractNumId="10">
    <w:nsid w:val="D6059CAF"/>
    <w:multiLevelType w:val="singleLevel"/>
    <w:tmpl w:val="D6059CAF"/>
    <w:lvl w:ilvl="0" w:tentative="0">
      <w:start w:val="1"/>
      <w:numFmt w:val="decimal"/>
      <w:lvlText w:val="(%1)"/>
      <w:lvlJc w:val="left"/>
      <w:pPr>
        <w:ind w:left="425" w:hanging="425"/>
      </w:pPr>
      <w:rPr>
        <w:rFonts w:hint="default"/>
      </w:rPr>
    </w:lvl>
  </w:abstractNum>
  <w:abstractNum w:abstractNumId="11">
    <w:nsid w:val="E50AA0BC"/>
    <w:multiLevelType w:val="singleLevel"/>
    <w:tmpl w:val="E50AA0BC"/>
    <w:lvl w:ilvl="0" w:tentative="0">
      <w:start w:val="1"/>
      <w:numFmt w:val="decimal"/>
      <w:lvlText w:val="(%1)"/>
      <w:lvlJc w:val="left"/>
      <w:pPr>
        <w:ind w:left="425" w:hanging="425"/>
      </w:pPr>
      <w:rPr>
        <w:rFonts w:hint="default"/>
      </w:rPr>
    </w:lvl>
  </w:abstractNum>
  <w:abstractNum w:abstractNumId="12">
    <w:nsid w:val="F2B77814"/>
    <w:multiLevelType w:val="singleLevel"/>
    <w:tmpl w:val="F2B77814"/>
    <w:lvl w:ilvl="0" w:tentative="0">
      <w:start w:val="1"/>
      <w:numFmt w:val="decimal"/>
      <w:lvlText w:val="(%1)"/>
      <w:lvlJc w:val="left"/>
      <w:pPr>
        <w:ind w:left="425" w:hanging="425"/>
      </w:pPr>
      <w:rPr>
        <w:rFonts w:hint="default"/>
      </w:rPr>
    </w:lvl>
  </w:abstractNum>
  <w:abstractNum w:abstractNumId="13">
    <w:nsid w:val="FF71B296"/>
    <w:multiLevelType w:val="singleLevel"/>
    <w:tmpl w:val="FF71B296"/>
    <w:lvl w:ilvl="0" w:tentative="0">
      <w:start w:val="1"/>
      <w:numFmt w:val="decimal"/>
      <w:lvlText w:val="(%1)"/>
      <w:lvlJc w:val="left"/>
      <w:pPr>
        <w:ind w:left="425" w:hanging="425"/>
      </w:pPr>
      <w:rPr>
        <w:rFonts w:hint="default"/>
      </w:rPr>
    </w:lvl>
  </w:abstractNum>
  <w:abstractNum w:abstractNumId="14">
    <w:nsid w:val="FFD1AD4A"/>
    <w:multiLevelType w:val="singleLevel"/>
    <w:tmpl w:val="FFD1AD4A"/>
    <w:lvl w:ilvl="0" w:tentative="0">
      <w:start w:val="1"/>
      <w:numFmt w:val="decimal"/>
      <w:lvlText w:val="(%1)"/>
      <w:lvlJc w:val="left"/>
      <w:pPr>
        <w:ind w:left="425" w:hanging="425"/>
      </w:pPr>
      <w:rPr>
        <w:rFonts w:hint="default"/>
      </w:rPr>
    </w:lvl>
  </w:abstractNum>
  <w:abstractNum w:abstractNumId="15">
    <w:nsid w:val="0000000B"/>
    <w:multiLevelType w:val="multilevel"/>
    <w:tmpl w:val="0000000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0C"/>
    <w:multiLevelType w:val="singleLevel"/>
    <w:tmpl w:val="0000000C"/>
    <w:lvl w:ilvl="0" w:tentative="0">
      <w:start w:val="1"/>
      <w:numFmt w:val="decimal"/>
      <w:suff w:val="nothing"/>
      <w:lvlText w:val="%1、"/>
      <w:lvlJc w:val="left"/>
      <w:pPr>
        <w:ind w:left="0"/>
      </w:pPr>
    </w:lvl>
  </w:abstractNum>
  <w:abstractNum w:abstractNumId="17">
    <w:nsid w:val="0000000E"/>
    <w:multiLevelType w:val="singleLevel"/>
    <w:tmpl w:val="0000000E"/>
    <w:lvl w:ilvl="0" w:tentative="0">
      <w:start w:val="1"/>
      <w:numFmt w:val="decimal"/>
      <w:lvlText w:val="(%1)"/>
      <w:lvlJc w:val="left"/>
      <w:pPr>
        <w:tabs>
          <w:tab w:val="left" w:pos="840"/>
        </w:tabs>
        <w:ind w:left="1265" w:hanging="425"/>
      </w:pPr>
      <w:rPr>
        <w:rFonts w:hint="default"/>
      </w:rPr>
    </w:lvl>
  </w:abstractNum>
  <w:abstractNum w:abstractNumId="18">
    <w:nsid w:val="00000011"/>
    <w:multiLevelType w:val="singleLevel"/>
    <w:tmpl w:val="00000011"/>
    <w:lvl w:ilvl="0" w:tentative="0">
      <w:start w:val="1"/>
      <w:numFmt w:val="decimal"/>
      <w:suff w:val="nothing"/>
      <w:lvlText w:val="%1、"/>
      <w:lvlJc w:val="left"/>
    </w:lvl>
  </w:abstractNum>
  <w:abstractNum w:abstractNumId="19">
    <w:nsid w:val="00000013"/>
    <w:multiLevelType w:val="singleLevel"/>
    <w:tmpl w:val="00000013"/>
    <w:lvl w:ilvl="0" w:tentative="0">
      <w:start w:val="1"/>
      <w:numFmt w:val="decimal"/>
      <w:lvlText w:val="%1)"/>
      <w:lvlJc w:val="left"/>
      <w:pPr>
        <w:ind w:left="425" w:hanging="425"/>
      </w:pPr>
      <w:rPr>
        <w:rFonts w:hint="default"/>
      </w:rPr>
    </w:lvl>
  </w:abstractNum>
  <w:abstractNum w:abstractNumId="20">
    <w:nsid w:val="0000001F"/>
    <w:multiLevelType w:val="singleLevel"/>
    <w:tmpl w:val="0000001F"/>
    <w:lvl w:ilvl="0" w:tentative="0">
      <w:start w:val="1"/>
      <w:numFmt w:val="chineseCounting"/>
      <w:suff w:val="nothing"/>
      <w:lvlText w:val="%1、"/>
      <w:lvlJc w:val="left"/>
      <w:pPr>
        <w:ind w:left="0" w:firstLine="420"/>
      </w:pPr>
      <w:rPr>
        <w:rFonts w:hint="eastAsia"/>
      </w:rPr>
    </w:lvl>
  </w:abstractNum>
  <w:abstractNum w:abstractNumId="21">
    <w:nsid w:val="00000020"/>
    <w:multiLevelType w:val="multilevel"/>
    <w:tmpl w:val="00000020"/>
    <w:lvl w:ilvl="0" w:tentative="0">
      <w:start w:val="1"/>
      <w:numFmt w:val="japaneseCounting"/>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2">
    <w:nsid w:val="00000022"/>
    <w:multiLevelType w:val="multilevel"/>
    <w:tmpl w:val="00000022"/>
    <w:lvl w:ilvl="0" w:tentative="0">
      <w:start w:val="1"/>
      <w:numFmt w:val="decimal"/>
      <w:lvlText w:val="%1."/>
      <w:lvlJc w:val="left"/>
      <w:pPr>
        <w:tabs>
          <w:tab w:val="left" w:pos="510"/>
        </w:tabs>
        <w:ind w:left="510" w:hanging="510"/>
      </w:pPr>
      <w:rPr>
        <w:rFonts w:hint="default" w:ascii="Times New Roman" w:hAnsi="Times New Roman" w:cs="Times New Roman"/>
        <w:b w:val="0"/>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00000023"/>
    <w:multiLevelType w:val="multilevel"/>
    <w:tmpl w:val="00000023"/>
    <w:lvl w:ilvl="0" w:tentative="0">
      <w:start w:val="1"/>
      <w:numFmt w:val="chineseCountingThousand"/>
      <w:pStyle w:val="256"/>
      <w:suff w:val="space"/>
      <w:lvlText w:val="第%1章"/>
      <w:lvlJc w:val="left"/>
      <w:pPr>
        <w:ind w:left="2240" w:firstLine="0"/>
      </w:pPr>
      <w:rPr>
        <w:rFonts w:hint="eastAsia"/>
      </w:rPr>
    </w:lvl>
    <w:lvl w:ilvl="1" w:tentative="0">
      <w:start w:val="1"/>
      <w:numFmt w:val="decimal"/>
      <w:isLgl/>
      <w:suff w:val="space"/>
      <w:lvlText w:val="%1.%2"/>
      <w:lvlJc w:val="left"/>
      <w:pPr>
        <w:ind w:left="765" w:hanging="567"/>
      </w:pPr>
      <w:rPr>
        <w:rFonts w:hint="eastAsia"/>
      </w:rPr>
    </w:lvl>
    <w:lvl w:ilvl="2" w:tentative="0">
      <w:start w:val="1"/>
      <w:numFmt w:val="decimal"/>
      <w:isLgl/>
      <w:suff w:val="space"/>
      <w:lvlText w:val="%1.%2.%3"/>
      <w:lvlJc w:val="left"/>
      <w:pPr>
        <w:ind w:left="707" w:hanging="567"/>
      </w:pPr>
      <w:rPr>
        <w:rFonts w:hint="eastAsia"/>
        <w:color w:val="auto"/>
      </w:rPr>
    </w:lvl>
    <w:lvl w:ilvl="3" w:tentative="0">
      <w:start w:val="1"/>
      <w:numFmt w:val="decimal"/>
      <w:isLgl/>
      <w:suff w:val="space"/>
      <w:lvlText w:val="%1.%2.%3.%4"/>
      <w:lvlJc w:val="left"/>
      <w:pPr>
        <w:ind w:left="2108" w:hanging="708"/>
      </w:pPr>
      <w:rPr>
        <w:rFonts w:hint="eastAsia"/>
      </w:rPr>
    </w:lvl>
    <w:lvl w:ilvl="4" w:tentative="0">
      <w:start w:val="1"/>
      <w:numFmt w:val="decimal"/>
      <w:lvlText w:val="%1.%2.%3.%4.%5"/>
      <w:lvlJc w:val="left"/>
      <w:pPr>
        <w:tabs>
          <w:tab w:val="left" w:pos="2554"/>
        </w:tabs>
        <w:ind w:left="2324" w:hanging="850"/>
      </w:pPr>
      <w:rPr>
        <w:rFonts w:hint="eastAsia"/>
      </w:rPr>
    </w:lvl>
    <w:lvl w:ilvl="5" w:tentative="0">
      <w:start w:val="1"/>
      <w:numFmt w:val="decimal"/>
      <w:lvlText w:val="%1.%2.%3.%4.%5.%6"/>
      <w:lvlJc w:val="left"/>
      <w:pPr>
        <w:tabs>
          <w:tab w:val="left" w:pos="3339"/>
        </w:tabs>
        <w:ind w:left="3033" w:hanging="1134"/>
      </w:pPr>
      <w:rPr>
        <w:rFonts w:hint="eastAsia"/>
      </w:rPr>
    </w:lvl>
    <w:lvl w:ilvl="6" w:tentative="0">
      <w:start w:val="1"/>
      <w:numFmt w:val="decimal"/>
      <w:lvlText w:val="%1.%2.%3.%4.%5.%6.%7"/>
      <w:lvlJc w:val="left"/>
      <w:pPr>
        <w:tabs>
          <w:tab w:val="left" w:pos="3764"/>
        </w:tabs>
        <w:ind w:left="3600" w:hanging="1276"/>
      </w:pPr>
      <w:rPr>
        <w:rFonts w:hint="eastAsia"/>
      </w:rPr>
    </w:lvl>
    <w:lvl w:ilvl="7" w:tentative="0">
      <w:start w:val="1"/>
      <w:numFmt w:val="decimal"/>
      <w:lvlText w:val="%1.%2.%3.%4.%5.%6.%7.%8"/>
      <w:lvlJc w:val="left"/>
      <w:pPr>
        <w:tabs>
          <w:tab w:val="left" w:pos="4549"/>
        </w:tabs>
        <w:ind w:left="4167" w:hanging="1418"/>
      </w:pPr>
      <w:rPr>
        <w:rFonts w:hint="eastAsia"/>
      </w:rPr>
    </w:lvl>
    <w:lvl w:ilvl="8" w:tentative="0">
      <w:start w:val="1"/>
      <w:numFmt w:val="decimal"/>
      <w:lvlText w:val="%1.%2.%3.%4.%5.%6.%7.%8.%9"/>
      <w:lvlJc w:val="left"/>
      <w:pPr>
        <w:tabs>
          <w:tab w:val="left" w:pos="4975"/>
        </w:tabs>
        <w:ind w:left="4875" w:hanging="1700"/>
      </w:pPr>
      <w:rPr>
        <w:rFonts w:hint="eastAsia"/>
      </w:rPr>
    </w:lvl>
  </w:abstractNum>
  <w:abstractNum w:abstractNumId="24">
    <w:nsid w:val="00000024"/>
    <w:multiLevelType w:val="multilevel"/>
    <w:tmpl w:val="00000024"/>
    <w:lvl w:ilvl="0" w:tentative="0">
      <w:start w:val="1"/>
      <w:numFmt w:val="decimal"/>
      <w:lvlText w:val="%1"/>
      <w:lvlJc w:val="left"/>
      <w:pPr>
        <w:ind w:left="1129"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00000025"/>
    <w:multiLevelType w:val="multilevel"/>
    <w:tmpl w:val="00000025"/>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0000028"/>
    <w:multiLevelType w:val="multilevel"/>
    <w:tmpl w:val="00000028"/>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27">
    <w:nsid w:val="00000031"/>
    <w:multiLevelType w:val="multilevel"/>
    <w:tmpl w:val="00000031"/>
    <w:lvl w:ilvl="0" w:tentative="0">
      <w:start w:val="1"/>
      <w:numFmt w:val="decimal"/>
      <w:lvlText w:val="2.%1."/>
      <w:lvlJc w:val="left"/>
      <w:pPr>
        <w:tabs>
          <w:tab w:val="left" w:pos="510"/>
        </w:tabs>
        <w:ind w:left="510" w:hanging="510"/>
      </w:pPr>
      <w:rPr>
        <w:rFonts w:hint="default" w:ascii="Times New Roman" w:hAnsi="Times New Roman"/>
        <w:b/>
        <w:i w:val="0"/>
      </w:rPr>
    </w:lvl>
    <w:lvl w:ilvl="1" w:tentative="0">
      <w:start w:val="1"/>
      <w:numFmt w:val="decimal"/>
      <w:lvlText w:val="%2."/>
      <w:lvlJc w:val="left"/>
      <w:pPr>
        <w:tabs>
          <w:tab w:val="left" w:pos="510"/>
        </w:tabs>
        <w:ind w:left="510" w:hanging="510"/>
      </w:pPr>
      <w:rPr>
        <w:rFonts w:hint="default" w:ascii="Times New Roman" w:hAnsi="Times New Roman" w:cs="Times New Roman"/>
        <w:spacing w:val="-20"/>
        <w:kern w:val="2"/>
        <w:position w:val="0"/>
      </w:rPr>
    </w:lvl>
    <w:lvl w:ilvl="2" w:tentative="0">
      <w:start w:val="1"/>
      <w:numFmt w:val="decimal"/>
      <w:lvlText w:val="3.%3."/>
      <w:lvlJc w:val="left"/>
      <w:pPr>
        <w:tabs>
          <w:tab w:val="left" w:pos="420"/>
        </w:tabs>
        <w:ind w:left="420" w:hanging="420"/>
      </w:pPr>
      <w:rPr>
        <w:rFonts w:hint="default" w:ascii="Times New Roman" w:hAnsi="Times New Roman" w:eastAsia="黑体" w:cs="Times New Roman"/>
        <w:b/>
        <w:i w:val="0"/>
        <w:sz w:val="24"/>
        <w:szCs w:val="24"/>
      </w:rPr>
    </w:lvl>
    <w:lvl w:ilvl="3" w:tentative="0">
      <w:start w:val="1"/>
      <w:numFmt w:val="japaneseCounting"/>
      <w:lvlText w:val="%4、"/>
      <w:lvlJc w:val="left"/>
      <w:pPr>
        <w:ind w:left="1680" w:hanging="420"/>
      </w:pPr>
      <w:rPr>
        <w:rFonts w:hint="default"/>
        <w:b w:val="0"/>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00000032"/>
    <w:multiLevelType w:val="multilevel"/>
    <w:tmpl w:val="00000032"/>
    <w:lvl w:ilvl="0" w:tentative="0">
      <w:start w:val="1"/>
      <w:numFmt w:val="decimal"/>
      <w:lvlText w:val="4.%1."/>
      <w:lvlJc w:val="left"/>
      <w:pPr>
        <w:tabs>
          <w:tab w:val="left" w:pos="420"/>
        </w:tabs>
        <w:ind w:left="420" w:hanging="420"/>
      </w:pPr>
      <w:rPr>
        <w:rFonts w:hint="eastAsia"/>
      </w:rPr>
    </w:lvl>
    <w:lvl w:ilvl="1" w:tentative="0">
      <w:start w:val="1"/>
      <w:numFmt w:val="decimal"/>
      <w:lvlText w:val="%2）"/>
      <w:lvlJc w:val="left"/>
      <w:pPr>
        <w:tabs>
          <w:tab w:val="left" w:pos="510"/>
        </w:tabs>
        <w:ind w:left="510" w:hanging="510"/>
      </w:pPr>
      <w:rPr>
        <w:rFonts w:hint="default" w:ascii="Times New Roman" w:hAnsi="Times New Roman" w:cs="Times New Roman"/>
        <w:b w:val="0"/>
        <w:i w:val="0"/>
        <w:color w:val="000000"/>
        <w:sz w:val="24"/>
        <w:u w:val="none" w:color="000000"/>
      </w:rPr>
    </w:lvl>
    <w:lvl w:ilvl="2" w:tentative="0">
      <w:start w:val="1"/>
      <w:numFmt w:val="decimal"/>
      <w:lvlText w:val="%3."/>
      <w:lvlJc w:val="left"/>
      <w:pPr>
        <w:tabs>
          <w:tab w:val="left" w:pos="360"/>
        </w:tabs>
        <w:ind w:left="360" w:hanging="360"/>
      </w:pPr>
      <w:rPr>
        <w:rFonts w:hint="eastAsia"/>
      </w:rPr>
    </w:lvl>
    <w:lvl w:ilvl="3" w:tentative="0">
      <w:start w:val="1"/>
      <w:numFmt w:val="decimal"/>
      <w:lvlText w:val="%4."/>
      <w:lvlJc w:val="left"/>
      <w:pPr>
        <w:tabs>
          <w:tab w:val="left" w:pos="397"/>
        </w:tabs>
        <w:ind w:left="397" w:hanging="397"/>
      </w:pPr>
      <w:rPr>
        <w:rFonts w:hint="eastAsia"/>
      </w:rPr>
    </w:lvl>
    <w:lvl w:ilvl="4" w:tentative="0">
      <w:start w:val="1"/>
      <w:numFmt w:val="lowerLetter"/>
      <w:lvlText w:val="%5)"/>
      <w:lvlJc w:val="left"/>
      <w:pPr>
        <w:tabs>
          <w:tab w:val="left" w:pos="1260"/>
        </w:tabs>
        <w:ind w:left="1260" w:hanging="420"/>
      </w:pPr>
    </w:lvl>
    <w:lvl w:ilvl="5" w:tentative="0">
      <w:start w:val="1"/>
      <w:numFmt w:val="lowerRoman"/>
      <w:lvlText w:val="%6."/>
      <w:lvlJc w:val="right"/>
      <w:pPr>
        <w:tabs>
          <w:tab w:val="left" w:pos="1680"/>
        </w:tabs>
        <w:ind w:left="1680" w:hanging="420"/>
      </w:pPr>
    </w:lvl>
    <w:lvl w:ilvl="6" w:tentative="0">
      <w:start w:val="1"/>
      <w:numFmt w:val="decimal"/>
      <w:lvlText w:val="%7."/>
      <w:lvlJc w:val="left"/>
      <w:pPr>
        <w:tabs>
          <w:tab w:val="left" w:pos="2100"/>
        </w:tabs>
        <w:ind w:left="2100" w:hanging="420"/>
      </w:pPr>
    </w:lvl>
    <w:lvl w:ilvl="7" w:tentative="0">
      <w:start w:val="1"/>
      <w:numFmt w:val="lowerLetter"/>
      <w:lvlText w:val="%8)"/>
      <w:lvlJc w:val="left"/>
      <w:pPr>
        <w:tabs>
          <w:tab w:val="left" w:pos="2520"/>
        </w:tabs>
        <w:ind w:left="2520" w:hanging="420"/>
      </w:pPr>
    </w:lvl>
    <w:lvl w:ilvl="8" w:tentative="0">
      <w:start w:val="1"/>
      <w:numFmt w:val="lowerRoman"/>
      <w:lvlText w:val="%9."/>
      <w:lvlJc w:val="right"/>
      <w:pPr>
        <w:tabs>
          <w:tab w:val="left" w:pos="2940"/>
        </w:tabs>
        <w:ind w:left="2940" w:hanging="420"/>
      </w:pPr>
    </w:lvl>
  </w:abstractNum>
  <w:abstractNum w:abstractNumId="29">
    <w:nsid w:val="00000033"/>
    <w:multiLevelType w:val="multilevel"/>
    <w:tmpl w:val="00000033"/>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00000034"/>
    <w:multiLevelType w:val="multilevel"/>
    <w:tmpl w:val="00000034"/>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00000035"/>
    <w:multiLevelType w:val="multilevel"/>
    <w:tmpl w:val="00000035"/>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00000037"/>
    <w:multiLevelType w:val="multilevel"/>
    <w:tmpl w:val="00000037"/>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00000039"/>
    <w:multiLevelType w:val="multilevel"/>
    <w:tmpl w:val="00000039"/>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000003A"/>
    <w:multiLevelType w:val="multilevel"/>
    <w:tmpl w:val="0000003A"/>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0000003D"/>
    <w:multiLevelType w:val="multilevel"/>
    <w:tmpl w:val="0000003D"/>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0000003F"/>
    <w:multiLevelType w:val="multilevel"/>
    <w:tmpl w:val="0000003F"/>
    <w:lvl w:ilvl="0" w:tentative="0">
      <w:start w:val="1"/>
      <w:numFmt w:val="decimal"/>
      <w:lvlText w:val="4.%1."/>
      <w:lvlJc w:val="left"/>
      <w:pPr>
        <w:tabs>
          <w:tab w:val="left" w:pos="510"/>
        </w:tabs>
        <w:ind w:left="510" w:hanging="510"/>
      </w:pPr>
      <w:rPr>
        <w:rFonts w:hint="default" w:ascii="Times New Roman" w:hAnsi="Times New Roman"/>
        <w:b/>
        <w:i w:val="0"/>
      </w:rPr>
    </w:lvl>
    <w:lvl w:ilvl="1" w:tentative="0">
      <w:start w:val="1"/>
      <w:numFmt w:val="decimal"/>
      <w:lvlText w:val="%2."/>
      <w:lvlJc w:val="left"/>
      <w:pPr>
        <w:tabs>
          <w:tab w:val="left" w:pos="510"/>
        </w:tabs>
        <w:ind w:left="510" w:hanging="510"/>
      </w:pPr>
      <w:rPr>
        <w:rFonts w:hint="default" w:ascii="Times New Roman" w:hAnsi="Times New Roman" w:cs="Times New Roman"/>
        <w:spacing w:val="-20"/>
        <w:kern w:val="2"/>
        <w:position w:val="0"/>
      </w:rPr>
    </w:lvl>
    <w:lvl w:ilvl="2" w:tentative="0">
      <w:start w:val="1"/>
      <w:numFmt w:val="decimal"/>
      <w:lvlText w:val="3.%3."/>
      <w:lvlJc w:val="left"/>
      <w:pPr>
        <w:tabs>
          <w:tab w:val="left" w:pos="420"/>
        </w:tabs>
        <w:ind w:left="420" w:hanging="420"/>
      </w:pPr>
      <w:rPr>
        <w:rFonts w:hint="default" w:ascii="Times New Roman" w:hAnsi="Times New Roman" w:eastAsia="黑体" w:cs="Times New Roman"/>
        <w:b/>
        <w:i w:val="0"/>
        <w:sz w:val="24"/>
        <w:szCs w:val="24"/>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00000041"/>
    <w:multiLevelType w:val="multilevel"/>
    <w:tmpl w:val="00000041"/>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00000045"/>
    <w:multiLevelType w:val="multilevel"/>
    <w:tmpl w:val="00000045"/>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00000046"/>
    <w:multiLevelType w:val="multilevel"/>
    <w:tmpl w:val="00000046"/>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00000048"/>
    <w:multiLevelType w:val="multilevel"/>
    <w:tmpl w:val="00000048"/>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00000049"/>
    <w:multiLevelType w:val="multilevel"/>
    <w:tmpl w:val="00000049"/>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0000004C"/>
    <w:multiLevelType w:val="multilevel"/>
    <w:tmpl w:val="0000004C"/>
    <w:lvl w:ilvl="0" w:tentative="0">
      <w:start w:val="1"/>
      <w:numFmt w:val="decimal"/>
      <w:lvlText w:val="3.%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0000004D"/>
    <w:multiLevelType w:val="multilevel"/>
    <w:tmpl w:val="0000004D"/>
    <w:lvl w:ilvl="0" w:tentative="0">
      <w:start w:val="1"/>
      <w:numFmt w:val="bullet"/>
      <w:lvlText w:val=""/>
      <w:lvlJc w:val="left"/>
      <w:pPr>
        <w:tabs>
          <w:tab w:val="left" w:pos="695"/>
        </w:tabs>
        <w:ind w:left="695" w:hanging="420"/>
      </w:pPr>
      <w:rPr>
        <w:rFonts w:hint="default" w:ascii="Wingdings" w:hAnsi="Wingdings"/>
        <w:color w:val="auto"/>
        <w:sz w:val="28"/>
        <w:szCs w:val="28"/>
      </w:rPr>
    </w:lvl>
    <w:lvl w:ilvl="1" w:tentative="0">
      <w:start w:val="1"/>
      <w:numFmt w:val="decimal"/>
      <w:lvlText w:val="%2)"/>
      <w:lvlJc w:val="left"/>
      <w:pPr>
        <w:tabs>
          <w:tab w:val="left" w:pos="1115"/>
        </w:tabs>
        <w:ind w:left="1115" w:hanging="420"/>
      </w:pPr>
      <w:rPr>
        <w:rFonts w:hint="default"/>
      </w:rPr>
    </w:lvl>
    <w:lvl w:ilvl="2" w:tentative="0">
      <w:start w:val="1"/>
      <w:numFmt w:val="bullet"/>
      <w:lvlText w:val=""/>
      <w:lvlJc w:val="left"/>
      <w:pPr>
        <w:tabs>
          <w:tab w:val="left" w:pos="1535"/>
        </w:tabs>
        <w:ind w:left="1535" w:hanging="420"/>
      </w:pPr>
      <w:rPr>
        <w:rFonts w:hint="default" w:ascii="Wingdings" w:hAnsi="Wingdings"/>
      </w:rPr>
    </w:lvl>
    <w:lvl w:ilvl="3" w:tentative="0">
      <w:start w:val="1"/>
      <w:numFmt w:val="bullet"/>
      <w:lvlText w:val=""/>
      <w:lvlJc w:val="left"/>
      <w:pPr>
        <w:tabs>
          <w:tab w:val="left" w:pos="1955"/>
        </w:tabs>
        <w:ind w:left="1955" w:hanging="420"/>
      </w:pPr>
      <w:rPr>
        <w:rFonts w:hint="default" w:ascii="Wingdings" w:hAnsi="Wingdings"/>
      </w:rPr>
    </w:lvl>
    <w:lvl w:ilvl="4" w:tentative="0">
      <w:start w:val="1"/>
      <w:numFmt w:val="bullet"/>
      <w:lvlText w:val=""/>
      <w:lvlJc w:val="left"/>
      <w:pPr>
        <w:tabs>
          <w:tab w:val="left" w:pos="2375"/>
        </w:tabs>
        <w:ind w:left="2375" w:hanging="420"/>
      </w:pPr>
      <w:rPr>
        <w:rFonts w:hint="default" w:ascii="Wingdings" w:hAnsi="Wingdings"/>
      </w:rPr>
    </w:lvl>
    <w:lvl w:ilvl="5" w:tentative="0">
      <w:start w:val="1"/>
      <w:numFmt w:val="bullet"/>
      <w:lvlText w:val=""/>
      <w:lvlJc w:val="left"/>
      <w:pPr>
        <w:tabs>
          <w:tab w:val="left" w:pos="2795"/>
        </w:tabs>
        <w:ind w:left="2795" w:hanging="420"/>
      </w:pPr>
      <w:rPr>
        <w:rFonts w:hint="default" w:ascii="Wingdings" w:hAnsi="Wingdings"/>
      </w:rPr>
    </w:lvl>
    <w:lvl w:ilvl="6" w:tentative="0">
      <w:start w:val="1"/>
      <w:numFmt w:val="bullet"/>
      <w:lvlText w:val=""/>
      <w:lvlJc w:val="left"/>
      <w:pPr>
        <w:tabs>
          <w:tab w:val="left" w:pos="3215"/>
        </w:tabs>
        <w:ind w:left="3215" w:hanging="420"/>
      </w:pPr>
      <w:rPr>
        <w:rFonts w:hint="default" w:ascii="Wingdings" w:hAnsi="Wingdings"/>
      </w:rPr>
    </w:lvl>
    <w:lvl w:ilvl="7" w:tentative="0">
      <w:start w:val="1"/>
      <w:numFmt w:val="bullet"/>
      <w:lvlText w:val=""/>
      <w:lvlJc w:val="left"/>
      <w:pPr>
        <w:tabs>
          <w:tab w:val="left" w:pos="3635"/>
        </w:tabs>
        <w:ind w:left="3635" w:hanging="420"/>
      </w:pPr>
      <w:rPr>
        <w:rFonts w:hint="default" w:ascii="Wingdings" w:hAnsi="Wingdings"/>
      </w:rPr>
    </w:lvl>
    <w:lvl w:ilvl="8" w:tentative="0">
      <w:start w:val="1"/>
      <w:numFmt w:val="bullet"/>
      <w:lvlText w:val=""/>
      <w:lvlJc w:val="left"/>
      <w:pPr>
        <w:tabs>
          <w:tab w:val="left" w:pos="4055"/>
        </w:tabs>
        <w:ind w:left="4055" w:hanging="420"/>
      </w:pPr>
      <w:rPr>
        <w:rFonts w:hint="default" w:ascii="Wingdings" w:hAnsi="Wingdings"/>
      </w:rPr>
    </w:lvl>
  </w:abstractNum>
  <w:abstractNum w:abstractNumId="44">
    <w:nsid w:val="00000050"/>
    <w:multiLevelType w:val="multilevel"/>
    <w:tmpl w:val="00000050"/>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decimal"/>
      <w:isLgl/>
      <w:lvlText w:val="%1.%2"/>
      <w:lvlJc w:val="left"/>
      <w:pPr>
        <w:ind w:left="435" w:hanging="43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45">
    <w:nsid w:val="00000052"/>
    <w:multiLevelType w:val="multilevel"/>
    <w:tmpl w:val="00000052"/>
    <w:lvl w:ilvl="0" w:tentative="0">
      <w:start w:val="1"/>
      <w:numFmt w:val="decimal"/>
      <w:pStyle w:val="216"/>
      <w:lvlText w:val="5.%1."/>
      <w:lvlJc w:val="left"/>
      <w:pPr>
        <w:tabs>
          <w:tab w:val="left" w:pos="510"/>
        </w:tabs>
        <w:ind w:left="510" w:hanging="51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decimal"/>
      <w:lvlText w:val="6.%3."/>
      <w:lvlJc w:val="left"/>
      <w:pPr>
        <w:tabs>
          <w:tab w:val="left" w:pos="1260"/>
        </w:tabs>
        <w:ind w:left="1260" w:hanging="420"/>
      </w:pPr>
      <w:rPr>
        <w:rFonts w:hint="default" w:ascii="Times New Roman" w:hAnsi="Times New Roman"/>
        <w:b/>
        <w:i w:val="0"/>
      </w:rPr>
    </w:lvl>
    <w:lvl w:ilvl="3" w:tentative="0">
      <w:start w:val="1"/>
      <w:numFmt w:val="decimal"/>
      <w:lvlText w:val="%4."/>
      <w:lvlJc w:val="left"/>
      <w:pPr>
        <w:tabs>
          <w:tab w:val="left" w:pos="1620"/>
        </w:tabs>
        <w:ind w:left="1620" w:hanging="360"/>
      </w:pPr>
      <w:rPr>
        <w:rFonts w:hint="eastAsia"/>
      </w:rPr>
    </w:lvl>
    <w:lvl w:ilvl="4" w:tentative="0">
      <w:start w:val="2"/>
      <w:numFmt w:val="decimal"/>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00000055"/>
    <w:multiLevelType w:val="multilevel"/>
    <w:tmpl w:val="00000055"/>
    <w:lvl w:ilvl="0" w:tentative="0">
      <w:start w:val="1"/>
      <w:numFmt w:val="decimal"/>
      <w:lvlText w:val="5.%1."/>
      <w:lvlJc w:val="left"/>
      <w:pPr>
        <w:tabs>
          <w:tab w:val="left" w:pos="510"/>
        </w:tabs>
        <w:ind w:left="510" w:hanging="510"/>
      </w:pPr>
      <w:rPr>
        <w:rFonts w:hint="default" w:ascii="Times New Roman" w:hAnsi="Times New Roman" w:cs="Times New Roman"/>
        <w:b/>
        <w:i w:val="0"/>
      </w:rPr>
    </w:lvl>
    <w:lvl w:ilvl="1" w:tentative="0">
      <w:start w:val="1"/>
      <w:numFmt w:val="decimal"/>
      <w:lvlText w:val="%2."/>
      <w:lvlJc w:val="left"/>
      <w:pPr>
        <w:tabs>
          <w:tab w:val="left" w:pos="510"/>
        </w:tabs>
        <w:ind w:left="510" w:hanging="510"/>
      </w:pPr>
      <w:rPr>
        <w:rFonts w:hint="default" w:ascii="Times New Roman" w:hAnsi="Times New Roman" w:cs="Times New Roman"/>
        <w:spacing w:val="-20"/>
        <w:kern w:val="2"/>
        <w:position w:val="0"/>
      </w:rPr>
    </w:lvl>
    <w:lvl w:ilvl="2" w:tentative="0">
      <w:start w:val="1"/>
      <w:numFmt w:val="decimal"/>
      <w:lvlText w:val="3.%3."/>
      <w:lvlJc w:val="left"/>
      <w:pPr>
        <w:tabs>
          <w:tab w:val="left" w:pos="420"/>
        </w:tabs>
        <w:ind w:left="420" w:hanging="420"/>
      </w:pPr>
      <w:rPr>
        <w:rFonts w:hint="default" w:ascii="Times New Roman" w:hAnsi="Times New Roman" w:eastAsia="黑体" w:cs="Times New Roman"/>
        <w:b/>
        <w:i w:val="0"/>
        <w:sz w:val="24"/>
        <w:szCs w:val="24"/>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00000057"/>
    <w:multiLevelType w:val="multilevel"/>
    <w:tmpl w:val="00000057"/>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00000058"/>
    <w:multiLevelType w:val="singleLevel"/>
    <w:tmpl w:val="00000058"/>
    <w:lvl w:ilvl="0" w:tentative="0">
      <w:start w:val="1"/>
      <w:numFmt w:val="decimal"/>
      <w:suff w:val="nothing"/>
      <w:lvlText w:val="%1）"/>
      <w:lvlJc w:val="left"/>
    </w:lvl>
  </w:abstractNum>
  <w:abstractNum w:abstractNumId="49">
    <w:nsid w:val="00000059"/>
    <w:multiLevelType w:val="singleLevel"/>
    <w:tmpl w:val="00000059"/>
    <w:lvl w:ilvl="0" w:tentative="0">
      <w:start w:val="1"/>
      <w:numFmt w:val="decimal"/>
      <w:suff w:val="nothing"/>
      <w:lvlText w:val="%1、"/>
      <w:lvlJc w:val="left"/>
    </w:lvl>
  </w:abstractNum>
  <w:abstractNum w:abstractNumId="50">
    <w:nsid w:val="00000062"/>
    <w:multiLevelType w:val="multilevel"/>
    <w:tmpl w:val="00000062"/>
    <w:lvl w:ilvl="0" w:tentative="0">
      <w:start w:val="1"/>
      <w:numFmt w:val="bullet"/>
      <w:lvlText w:val=""/>
      <w:lvlJc w:val="left"/>
      <w:pPr>
        <w:tabs>
          <w:tab w:val="left" w:pos="598"/>
        </w:tabs>
        <w:ind w:left="598" w:hanging="420"/>
      </w:pPr>
      <w:rPr>
        <w:rFonts w:hint="default" w:ascii="Wingdings" w:hAnsi="Wingdings"/>
      </w:rPr>
    </w:lvl>
    <w:lvl w:ilvl="1" w:tentative="0">
      <w:start w:val="1"/>
      <w:numFmt w:val="decimal"/>
      <w:lvlText w:val="%2."/>
      <w:lvlJc w:val="left"/>
      <w:pPr>
        <w:tabs>
          <w:tab w:val="left" w:pos="1018"/>
        </w:tabs>
        <w:ind w:left="1018" w:hanging="420"/>
      </w:pPr>
      <w:rPr>
        <w:rFonts w:hint="default"/>
      </w:rPr>
    </w:lvl>
    <w:lvl w:ilvl="2" w:tentative="0">
      <w:start w:val="1"/>
      <w:numFmt w:val="bullet"/>
      <w:lvlText w:val=""/>
      <w:lvlJc w:val="left"/>
      <w:pPr>
        <w:tabs>
          <w:tab w:val="left" w:pos="1438"/>
        </w:tabs>
        <w:ind w:left="1438" w:hanging="420"/>
      </w:pPr>
      <w:rPr>
        <w:rFonts w:hint="default" w:ascii="Wingdings" w:hAnsi="Wingdings"/>
      </w:rPr>
    </w:lvl>
    <w:lvl w:ilvl="3" w:tentative="0">
      <w:start w:val="1"/>
      <w:numFmt w:val="bullet"/>
      <w:lvlText w:val=""/>
      <w:lvlJc w:val="left"/>
      <w:pPr>
        <w:tabs>
          <w:tab w:val="left" w:pos="1858"/>
        </w:tabs>
        <w:ind w:left="1858" w:hanging="420"/>
      </w:pPr>
      <w:rPr>
        <w:rFonts w:hint="default" w:ascii="Wingdings" w:hAnsi="Wingdings"/>
      </w:rPr>
    </w:lvl>
    <w:lvl w:ilvl="4" w:tentative="0">
      <w:start w:val="1"/>
      <w:numFmt w:val="bullet"/>
      <w:lvlText w:val=""/>
      <w:lvlJc w:val="left"/>
      <w:pPr>
        <w:tabs>
          <w:tab w:val="left" w:pos="2278"/>
        </w:tabs>
        <w:ind w:left="2278" w:hanging="420"/>
      </w:pPr>
      <w:rPr>
        <w:rFonts w:hint="default" w:ascii="Wingdings" w:hAnsi="Wingdings"/>
      </w:rPr>
    </w:lvl>
    <w:lvl w:ilvl="5" w:tentative="0">
      <w:start w:val="1"/>
      <w:numFmt w:val="bullet"/>
      <w:lvlText w:val=""/>
      <w:lvlJc w:val="left"/>
      <w:pPr>
        <w:tabs>
          <w:tab w:val="left" w:pos="2698"/>
        </w:tabs>
        <w:ind w:left="2698" w:hanging="420"/>
      </w:pPr>
      <w:rPr>
        <w:rFonts w:hint="default" w:ascii="Wingdings" w:hAnsi="Wingdings"/>
      </w:rPr>
    </w:lvl>
    <w:lvl w:ilvl="6" w:tentative="0">
      <w:start w:val="1"/>
      <w:numFmt w:val="bullet"/>
      <w:lvlText w:val=""/>
      <w:lvlJc w:val="left"/>
      <w:pPr>
        <w:tabs>
          <w:tab w:val="left" w:pos="3118"/>
        </w:tabs>
        <w:ind w:left="3118" w:hanging="420"/>
      </w:pPr>
      <w:rPr>
        <w:rFonts w:hint="default" w:ascii="Wingdings" w:hAnsi="Wingdings"/>
      </w:rPr>
    </w:lvl>
    <w:lvl w:ilvl="7" w:tentative="0">
      <w:start w:val="1"/>
      <w:numFmt w:val="bullet"/>
      <w:lvlText w:val=""/>
      <w:lvlJc w:val="left"/>
      <w:pPr>
        <w:tabs>
          <w:tab w:val="left" w:pos="3538"/>
        </w:tabs>
        <w:ind w:left="3538" w:hanging="420"/>
      </w:pPr>
      <w:rPr>
        <w:rFonts w:hint="default" w:ascii="Wingdings" w:hAnsi="Wingdings"/>
      </w:rPr>
    </w:lvl>
    <w:lvl w:ilvl="8" w:tentative="0">
      <w:start w:val="1"/>
      <w:numFmt w:val="bullet"/>
      <w:lvlText w:val=""/>
      <w:lvlJc w:val="left"/>
      <w:pPr>
        <w:tabs>
          <w:tab w:val="left" w:pos="3958"/>
        </w:tabs>
        <w:ind w:left="3958" w:hanging="420"/>
      </w:pPr>
      <w:rPr>
        <w:rFonts w:hint="default" w:ascii="Wingdings" w:hAnsi="Wingdings"/>
      </w:rPr>
    </w:lvl>
  </w:abstractNum>
  <w:abstractNum w:abstractNumId="51">
    <w:nsid w:val="00000064"/>
    <w:multiLevelType w:val="multilevel"/>
    <w:tmpl w:val="00000064"/>
    <w:lvl w:ilvl="0" w:tentative="0">
      <w:start w:val="1"/>
      <w:numFmt w:val="decimal"/>
      <w:lvlText w:val="3.%1."/>
      <w:lvlJc w:val="left"/>
      <w:pPr>
        <w:tabs>
          <w:tab w:val="left" w:pos="510"/>
        </w:tabs>
        <w:ind w:left="510" w:hanging="510"/>
      </w:pPr>
      <w:rPr>
        <w:rFonts w:hint="default" w:ascii="Times New Roman" w:hAnsi="Times New Roman"/>
        <w:b/>
        <w:i w:val="0"/>
      </w:rPr>
    </w:lvl>
    <w:lvl w:ilvl="1" w:tentative="0">
      <w:start w:val="1"/>
      <w:numFmt w:val="decimal"/>
      <w:lvlText w:val="%2."/>
      <w:lvlJc w:val="left"/>
      <w:pPr>
        <w:tabs>
          <w:tab w:val="left" w:pos="510"/>
        </w:tabs>
        <w:ind w:left="510" w:hanging="510"/>
      </w:pPr>
      <w:rPr>
        <w:rFonts w:hint="default" w:ascii="Times New Roman" w:hAnsi="Times New Roman" w:cs="Times New Roman"/>
        <w:spacing w:val="-20"/>
        <w:kern w:val="2"/>
        <w:position w:val="0"/>
      </w:rPr>
    </w:lvl>
    <w:lvl w:ilvl="2" w:tentative="0">
      <w:start w:val="1"/>
      <w:numFmt w:val="decimal"/>
      <w:lvlText w:val="3.%3."/>
      <w:lvlJc w:val="left"/>
      <w:pPr>
        <w:tabs>
          <w:tab w:val="left" w:pos="420"/>
        </w:tabs>
        <w:ind w:left="420" w:hanging="420"/>
      </w:pPr>
      <w:rPr>
        <w:rFonts w:hint="default" w:ascii="Times New Roman" w:hAnsi="Times New Roman" w:eastAsia="黑体" w:cs="Times New Roman"/>
        <w:b/>
        <w:i w:val="0"/>
        <w:sz w:val="24"/>
        <w:szCs w:val="24"/>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00000070"/>
    <w:multiLevelType w:val="multilevel"/>
    <w:tmpl w:val="00000070"/>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00000071"/>
    <w:multiLevelType w:val="multilevel"/>
    <w:tmpl w:val="00000071"/>
    <w:lvl w:ilvl="0" w:tentative="0">
      <w:start w:val="1"/>
      <w:numFmt w:val="decimal"/>
      <w:lvlText w:val="%1)"/>
      <w:lvlJc w:val="left"/>
      <w:pPr>
        <w:tabs>
          <w:tab w:val="left" w:pos="510"/>
        </w:tabs>
        <w:ind w:left="510" w:hanging="510"/>
      </w:pPr>
      <w:rPr>
        <w:rFonts w:hint="default"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00000072"/>
    <w:multiLevelType w:val="multilevel"/>
    <w:tmpl w:val="00000072"/>
    <w:lvl w:ilvl="0" w:tentative="0">
      <w:start w:val="1"/>
      <w:numFmt w:val="decimal"/>
      <w:lvlText w:val="1.%1."/>
      <w:lvlJc w:val="left"/>
      <w:pPr>
        <w:tabs>
          <w:tab w:val="left" w:pos="510"/>
        </w:tabs>
        <w:ind w:left="510" w:hanging="510"/>
      </w:pPr>
      <w:rPr>
        <w:rFonts w:hint="default" w:ascii="Times New Roman" w:hAnsi="Times New Roman"/>
        <w:b/>
        <w:i w:val="0"/>
      </w:rPr>
    </w:lvl>
    <w:lvl w:ilvl="1" w:tentative="0">
      <w:start w:val="1"/>
      <w:numFmt w:val="decimal"/>
      <w:lvlText w:val="%2."/>
      <w:lvlJc w:val="left"/>
      <w:pPr>
        <w:tabs>
          <w:tab w:val="left" w:pos="510"/>
        </w:tabs>
        <w:ind w:left="510" w:hanging="510"/>
      </w:pPr>
      <w:rPr>
        <w:rFonts w:hint="eastAsia"/>
        <w:spacing w:val="-20"/>
        <w:kern w:val="2"/>
        <w:position w:val="0"/>
      </w:rPr>
    </w:lvl>
    <w:lvl w:ilvl="2" w:tentative="0">
      <w:start w:val="1"/>
      <w:numFmt w:val="decimal"/>
      <w:lvlText w:val="3.%3."/>
      <w:lvlJc w:val="left"/>
      <w:pPr>
        <w:tabs>
          <w:tab w:val="left" w:pos="420"/>
        </w:tabs>
        <w:ind w:left="420" w:hanging="420"/>
      </w:pPr>
      <w:rPr>
        <w:rFonts w:hint="default" w:ascii="Times New Roman" w:hAnsi="Times New Roman" w:eastAsia="黑体" w:cs="Times New Roman"/>
        <w:b/>
        <w:i w:val="0"/>
        <w:sz w:val="24"/>
        <w:szCs w:val="24"/>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00000075"/>
    <w:multiLevelType w:val="multilevel"/>
    <w:tmpl w:val="00000075"/>
    <w:lvl w:ilvl="0" w:tentative="0">
      <w:start w:val="1"/>
      <w:numFmt w:val="decimal"/>
      <w:lvlText w:val="4.%1."/>
      <w:lvlJc w:val="left"/>
      <w:pPr>
        <w:tabs>
          <w:tab w:val="left" w:pos="420"/>
        </w:tabs>
        <w:ind w:left="420" w:hanging="420"/>
      </w:pPr>
      <w:rPr>
        <w:rFonts w:hint="eastAsia"/>
      </w:rPr>
    </w:lvl>
    <w:lvl w:ilvl="1" w:tentative="0">
      <w:start w:val="1"/>
      <w:numFmt w:val="decimal"/>
      <w:lvlText w:val="%2）"/>
      <w:lvlJc w:val="left"/>
      <w:pPr>
        <w:tabs>
          <w:tab w:val="left" w:pos="510"/>
        </w:tabs>
        <w:ind w:left="510" w:hanging="510"/>
      </w:pPr>
      <w:rPr>
        <w:rFonts w:hint="default" w:ascii="Times New Roman" w:hAnsi="Times New Roman" w:cs="Times New Roman"/>
        <w:b w:val="0"/>
        <w:i w:val="0"/>
        <w:color w:val="000000"/>
        <w:sz w:val="24"/>
        <w:u w:val="none" w:color="000000"/>
      </w:rPr>
    </w:lvl>
    <w:lvl w:ilvl="2" w:tentative="0">
      <w:start w:val="1"/>
      <w:numFmt w:val="decimal"/>
      <w:lvlText w:val="%3."/>
      <w:lvlJc w:val="left"/>
      <w:pPr>
        <w:tabs>
          <w:tab w:val="left" w:pos="360"/>
        </w:tabs>
        <w:ind w:left="360" w:hanging="360"/>
      </w:pPr>
      <w:rPr>
        <w:rFonts w:hint="eastAsia"/>
      </w:rPr>
    </w:lvl>
    <w:lvl w:ilvl="3" w:tentative="0">
      <w:start w:val="1"/>
      <w:numFmt w:val="decimal"/>
      <w:lvlText w:val="%4."/>
      <w:lvlJc w:val="left"/>
      <w:pPr>
        <w:tabs>
          <w:tab w:val="left" w:pos="397"/>
        </w:tabs>
        <w:ind w:left="397" w:hanging="397"/>
      </w:pPr>
      <w:rPr>
        <w:rFonts w:hint="eastAsia"/>
      </w:rPr>
    </w:lvl>
    <w:lvl w:ilvl="4" w:tentative="0">
      <w:start w:val="1"/>
      <w:numFmt w:val="lowerLetter"/>
      <w:lvlText w:val="%5)"/>
      <w:lvlJc w:val="left"/>
      <w:pPr>
        <w:tabs>
          <w:tab w:val="left" w:pos="1260"/>
        </w:tabs>
        <w:ind w:left="1260" w:hanging="420"/>
      </w:pPr>
      <w:rPr>
        <w:rFonts w:hint="eastAsia"/>
      </w:rPr>
    </w:lvl>
    <w:lvl w:ilvl="5" w:tentative="0">
      <w:start w:val="1"/>
      <w:numFmt w:val="lowerRoman"/>
      <w:lvlText w:val="%6."/>
      <w:lvlJc w:val="right"/>
      <w:pPr>
        <w:tabs>
          <w:tab w:val="left" w:pos="1680"/>
        </w:tabs>
        <w:ind w:left="1680" w:hanging="420"/>
      </w:pPr>
      <w:rPr>
        <w:rFonts w:hint="eastAsia"/>
      </w:rPr>
    </w:lvl>
    <w:lvl w:ilvl="6" w:tentative="0">
      <w:start w:val="1"/>
      <w:numFmt w:val="decimal"/>
      <w:lvlText w:val="%7."/>
      <w:lvlJc w:val="left"/>
      <w:pPr>
        <w:tabs>
          <w:tab w:val="left" w:pos="2100"/>
        </w:tabs>
        <w:ind w:left="2100" w:hanging="420"/>
      </w:pPr>
      <w:rPr>
        <w:rFonts w:hint="eastAsia"/>
      </w:rPr>
    </w:lvl>
    <w:lvl w:ilvl="7" w:tentative="0">
      <w:start w:val="1"/>
      <w:numFmt w:val="lowerLetter"/>
      <w:lvlText w:val="%8)"/>
      <w:lvlJc w:val="left"/>
      <w:pPr>
        <w:tabs>
          <w:tab w:val="left" w:pos="2520"/>
        </w:tabs>
        <w:ind w:left="2520" w:hanging="420"/>
      </w:pPr>
      <w:rPr>
        <w:rFonts w:hint="eastAsia"/>
      </w:rPr>
    </w:lvl>
    <w:lvl w:ilvl="8" w:tentative="0">
      <w:start w:val="1"/>
      <w:numFmt w:val="lowerRoman"/>
      <w:lvlText w:val="%9."/>
      <w:lvlJc w:val="right"/>
      <w:pPr>
        <w:tabs>
          <w:tab w:val="left" w:pos="2940"/>
        </w:tabs>
        <w:ind w:left="2940" w:hanging="420"/>
      </w:pPr>
      <w:rPr>
        <w:rFonts w:hint="eastAsia"/>
      </w:rPr>
    </w:lvl>
  </w:abstractNum>
  <w:abstractNum w:abstractNumId="56">
    <w:nsid w:val="00000077"/>
    <w:multiLevelType w:val="singleLevel"/>
    <w:tmpl w:val="00000077"/>
    <w:lvl w:ilvl="0" w:tentative="0">
      <w:start w:val="1"/>
      <w:numFmt w:val="decimal"/>
      <w:suff w:val="nothing"/>
      <w:lvlText w:val="%1、"/>
      <w:lvlJc w:val="left"/>
    </w:lvl>
  </w:abstractNum>
  <w:abstractNum w:abstractNumId="57">
    <w:nsid w:val="00000078"/>
    <w:multiLevelType w:val="multilevel"/>
    <w:tmpl w:val="00000078"/>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00000079"/>
    <w:multiLevelType w:val="multilevel"/>
    <w:tmpl w:val="00000079"/>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0000007A"/>
    <w:multiLevelType w:val="multilevel"/>
    <w:tmpl w:val="0000007A"/>
    <w:lvl w:ilvl="0" w:tentative="0">
      <w:start w:val="1"/>
      <w:numFmt w:val="decimal"/>
      <w:lvlText w:val="4.%1."/>
      <w:lvlJc w:val="left"/>
      <w:pPr>
        <w:tabs>
          <w:tab w:val="left" w:pos="420"/>
        </w:tabs>
        <w:ind w:left="420" w:hanging="420"/>
      </w:pPr>
      <w:rPr>
        <w:rFonts w:hint="eastAsia"/>
      </w:rPr>
    </w:lvl>
    <w:lvl w:ilvl="1" w:tentative="0">
      <w:start w:val="1"/>
      <w:numFmt w:val="decimal"/>
      <w:lvlText w:val="%2）"/>
      <w:lvlJc w:val="left"/>
      <w:pPr>
        <w:tabs>
          <w:tab w:val="left" w:pos="510"/>
        </w:tabs>
        <w:ind w:left="510" w:hanging="510"/>
      </w:pPr>
      <w:rPr>
        <w:rFonts w:hint="default" w:ascii="Times New Roman" w:hAnsi="Times New Roman" w:cs="Times New Roman"/>
        <w:b w:val="0"/>
        <w:i w:val="0"/>
        <w:color w:val="000000"/>
        <w:sz w:val="24"/>
        <w:u w:val="none" w:color="000000"/>
      </w:rPr>
    </w:lvl>
    <w:lvl w:ilvl="2" w:tentative="0">
      <w:start w:val="1"/>
      <w:numFmt w:val="decimal"/>
      <w:lvlText w:val="%3."/>
      <w:lvlJc w:val="left"/>
      <w:pPr>
        <w:tabs>
          <w:tab w:val="left" w:pos="360"/>
        </w:tabs>
        <w:ind w:left="360" w:hanging="360"/>
      </w:pPr>
      <w:rPr>
        <w:rFonts w:hint="eastAsia"/>
      </w:rPr>
    </w:lvl>
    <w:lvl w:ilvl="3" w:tentative="0">
      <w:start w:val="1"/>
      <w:numFmt w:val="decimal"/>
      <w:lvlText w:val="%4."/>
      <w:lvlJc w:val="left"/>
      <w:pPr>
        <w:tabs>
          <w:tab w:val="left" w:pos="397"/>
        </w:tabs>
        <w:ind w:left="397" w:hanging="397"/>
      </w:pPr>
      <w:rPr>
        <w:rFonts w:hint="eastAsia"/>
      </w:rPr>
    </w:lvl>
    <w:lvl w:ilvl="4" w:tentative="0">
      <w:start w:val="1"/>
      <w:numFmt w:val="lowerLetter"/>
      <w:lvlText w:val="%5)"/>
      <w:lvlJc w:val="left"/>
      <w:pPr>
        <w:tabs>
          <w:tab w:val="left" w:pos="1260"/>
        </w:tabs>
        <w:ind w:left="1260" w:hanging="420"/>
      </w:pPr>
    </w:lvl>
    <w:lvl w:ilvl="5" w:tentative="0">
      <w:start w:val="1"/>
      <w:numFmt w:val="lowerRoman"/>
      <w:lvlText w:val="%6."/>
      <w:lvlJc w:val="right"/>
      <w:pPr>
        <w:tabs>
          <w:tab w:val="left" w:pos="1680"/>
        </w:tabs>
        <w:ind w:left="1680" w:hanging="420"/>
      </w:pPr>
    </w:lvl>
    <w:lvl w:ilvl="6" w:tentative="0">
      <w:start w:val="1"/>
      <w:numFmt w:val="decimal"/>
      <w:lvlText w:val="%7."/>
      <w:lvlJc w:val="left"/>
      <w:pPr>
        <w:tabs>
          <w:tab w:val="left" w:pos="2100"/>
        </w:tabs>
        <w:ind w:left="2100" w:hanging="420"/>
      </w:pPr>
    </w:lvl>
    <w:lvl w:ilvl="7" w:tentative="0">
      <w:start w:val="1"/>
      <w:numFmt w:val="lowerLetter"/>
      <w:lvlText w:val="%8)"/>
      <w:lvlJc w:val="left"/>
      <w:pPr>
        <w:tabs>
          <w:tab w:val="left" w:pos="2520"/>
        </w:tabs>
        <w:ind w:left="2520" w:hanging="420"/>
      </w:pPr>
    </w:lvl>
    <w:lvl w:ilvl="8" w:tentative="0">
      <w:start w:val="1"/>
      <w:numFmt w:val="lowerRoman"/>
      <w:lvlText w:val="%9."/>
      <w:lvlJc w:val="right"/>
      <w:pPr>
        <w:tabs>
          <w:tab w:val="left" w:pos="2940"/>
        </w:tabs>
        <w:ind w:left="2940" w:hanging="420"/>
      </w:pPr>
    </w:lvl>
  </w:abstractNum>
  <w:abstractNum w:abstractNumId="60">
    <w:nsid w:val="0000007C"/>
    <w:multiLevelType w:val="multilevel"/>
    <w:tmpl w:val="0000007C"/>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106B7C95"/>
    <w:multiLevelType w:val="singleLevel"/>
    <w:tmpl w:val="106B7C95"/>
    <w:lvl w:ilvl="0" w:tentative="0">
      <w:start w:val="1"/>
      <w:numFmt w:val="decimal"/>
      <w:suff w:val="nothing"/>
      <w:lvlText w:val="%1、"/>
      <w:lvlJc w:val="left"/>
      <w:pPr>
        <w:ind w:left="0" w:firstLine="403"/>
      </w:pPr>
      <w:rPr>
        <w:rFonts w:hint="default"/>
      </w:rPr>
    </w:lvl>
  </w:abstractNum>
  <w:abstractNum w:abstractNumId="62">
    <w:nsid w:val="1DC0D17E"/>
    <w:multiLevelType w:val="multilevel"/>
    <w:tmpl w:val="1DC0D17E"/>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23BD8173"/>
    <w:multiLevelType w:val="singleLevel"/>
    <w:tmpl w:val="23BD8173"/>
    <w:lvl w:ilvl="0" w:tentative="0">
      <w:start w:val="1"/>
      <w:numFmt w:val="decimal"/>
      <w:suff w:val="nothing"/>
      <w:lvlText w:val="%1、"/>
      <w:lvlJc w:val="left"/>
      <w:pPr>
        <w:ind w:left="0" w:firstLine="403"/>
      </w:pPr>
      <w:rPr>
        <w:rFonts w:hint="default"/>
      </w:rPr>
    </w:lvl>
  </w:abstractNum>
  <w:abstractNum w:abstractNumId="64">
    <w:nsid w:val="2AEA0263"/>
    <w:multiLevelType w:val="singleLevel"/>
    <w:tmpl w:val="2AEA0263"/>
    <w:lvl w:ilvl="0" w:tentative="0">
      <w:start w:val="1"/>
      <w:numFmt w:val="decimal"/>
      <w:lvlText w:val="%1."/>
      <w:lvlJc w:val="left"/>
      <w:pPr>
        <w:ind w:left="425" w:hanging="425"/>
      </w:pPr>
      <w:rPr>
        <w:rFonts w:hint="default"/>
      </w:rPr>
    </w:lvl>
  </w:abstractNum>
  <w:abstractNum w:abstractNumId="65">
    <w:nsid w:val="32303AAF"/>
    <w:multiLevelType w:val="singleLevel"/>
    <w:tmpl w:val="32303AAF"/>
    <w:lvl w:ilvl="0" w:tentative="0">
      <w:start w:val="2"/>
      <w:numFmt w:val="chineseCounting"/>
      <w:suff w:val="space"/>
      <w:lvlText w:val="第%1部分"/>
      <w:lvlJc w:val="left"/>
      <w:rPr>
        <w:rFonts w:hint="eastAsia"/>
      </w:rPr>
    </w:lvl>
  </w:abstractNum>
  <w:abstractNum w:abstractNumId="66">
    <w:nsid w:val="33DB94FF"/>
    <w:multiLevelType w:val="singleLevel"/>
    <w:tmpl w:val="33DB94FF"/>
    <w:lvl w:ilvl="0" w:tentative="0">
      <w:start w:val="1"/>
      <w:numFmt w:val="decimal"/>
      <w:lvlText w:val="%1."/>
      <w:lvlJc w:val="left"/>
      <w:pPr>
        <w:ind w:left="425" w:hanging="425"/>
      </w:pPr>
      <w:rPr>
        <w:rFonts w:hint="default"/>
      </w:rPr>
    </w:lvl>
  </w:abstractNum>
  <w:abstractNum w:abstractNumId="67">
    <w:nsid w:val="342AAE71"/>
    <w:multiLevelType w:val="singleLevel"/>
    <w:tmpl w:val="342AAE71"/>
    <w:lvl w:ilvl="0" w:tentative="0">
      <w:start w:val="1"/>
      <w:numFmt w:val="decimal"/>
      <w:suff w:val="nothing"/>
      <w:lvlText w:val="%1、"/>
      <w:lvlJc w:val="left"/>
    </w:lvl>
  </w:abstractNum>
  <w:abstractNum w:abstractNumId="68">
    <w:nsid w:val="3455E041"/>
    <w:multiLevelType w:val="singleLevel"/>
    <w:tmpl w:val="3455E041"/>
    <w:lvl w:ilvl="0" w:tentative="0">
      <w:start w:val="1"/>
      <w:numFmt w:val="decimal"/>
      <w:lvlText w:val="(%1)"/>
      <w:lvlJc w:val="left"/>
      <w:pPr>
        <w:tabs>
          <w:tab w:val="left" w:pos="420"/>
        </w:tabs>
        <w:ind w:left="845" w:hanging="425"/>
      </w:pPr>
      <w:rPr>
        <w:rFonts w:hint="default"/>
      </w:rPr>
    </w:lvl>
  </w:abstractNum>
  <w:abstractNum w:abstractNumId="69">
    <w:nsid w:val="389224FE"/>
    <w:multiLevelType w:val="singleLevel"/>
    <w:tmpl w:val="389224FE"/>
    <w:lvl w:ilvl="0" w:tentative="0">
      <w:start w:val="1"/>
      <w:numFmt w:val="decimal"/>
      <w:lvlText w:val="%1."/>
      <w:lvlJc w:val="left"/>
      <w:pPr>
        <w:ind w:left="425" w:hanging="425"/>
      </w:pPr>
      <w:rPr>
        <w:rFonts w:hint="default"/>
      </w:rPr>
    </w:lvl>
  </w:abstractNum>
  <w:abstractNum w:abstractNumId="70">
    <w:nsid w:val="3FE3E634"/>
    <w:multiLevelType w:val="singleLevel"/>
    <w:tmpl w:val="3FE3E634"/>
    <w:lvl w:ilvl="0" w:tentative="0">
      <w:start w:val="1"/>
      <w:numFmt w:val="decimal"/>
      <w:lvlText w:val="%1、"/>
      <w:lvlJc w:val="left"/>
      <w:pPr>
        <w:tabs>
          <w:tab w:val="left" w:pos="420"/>
        </w:tabs>
        <w:ind w:left="845" w:hanging="425"/>
      </w:pPr>
      <w:rPr>
        <w:rFonts w:hint="default"/>
      </w:rPr>
    </w:lvl>
  </w:abstractNum>
  <w:abstractNum w:abstractNumId="71">
    <w:nsid w:val="42A6A598"/>
    <w:multiLevelType w:val="singleLevel"/>
    <w:tmpl w:val="42A6A598"/>
    <w:lvl w:ilvl="0" w:tentative="0">
      <w:start w:val="1"/>
      <w:numFmt w:val="chineseCounting"/>
      <w:suff w:val="nothing"/>
      <w:lvlText w:val="%1、"/>
      <w:lvlJc w:val="left"/>
      <w:rPr>
        <w:rFonts w:hint="eastAsia"/>
      </w:rPr>
    </w:lvl>
  </w:abstractNum>
  <w:abstractNum w:abstractNumId="72">
    <w:nsid w:val="4ED629B1"/>
    <w:multiLevelType w:val="singleLevel"/>
    <w:tmpl w:val="4ED629B1"/>
    <w:lvl w:ilvl="0" w:tentative="0">
      <w:start w:val="1"/>
      <w:numFmt w:val="decimal"/>
      <w:lvlText w:val="(%1)"/>
      <w:lvlJc w:val="left"/>
      <w:pPr>
        <w:tabs>
          <w:tab w:val="left" w:pos="420"/>
        </w:tabs>
        <w:ind w:left="845" w:hanging="425"/>
      </w:pPr>
      <w:rPr>
        <w:rFonts w:hint="default"/>
      </w:rPr>
    </w:lvl>
  </w:abstractNum>
  <w:abstractNum w:abstractNumId="73">
    <w:nsid w:val="5BD0F22C"/>
    <w:multiLevelType w:val="multilevel"/>
    <w:tmpl w:val="5BD0F22C"/>
    <w:lvl w:ilvl="0" w:tentative="0">
      <w:start w:val="1"/>
      <w:numFmt w:val="decimal"/>
      <w:lvlText w:val="%1."/>
      <w:lvlJc w:val="left"/>
      <w:pPr>
        <w:tabs>
          <w:tab w:val="left" w:pos="510"/>
        </w:tabs>
        <w:ind w:left="510" w:hanging="510"/>
      </w:pPr>
      <w:rPr>
        <w:rFonts w:hint="default" w:ascii="Times New Roman" w:hAnsi="Times New Roman" w:cs="Times New Roman"/>
        <w:spacing w:val="-20"/>
        <w:kern w:val="2"/>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5CECE979"/>
    <w:multiLevelType w:val="singleLevel"/>
    <w:tmpl w:val="5CECE979"/>
    <w:lvl w:ilvl="0" w:tentative="0">
      <w:start w:val="1"/>
      <w:numFmt w:val="decimal"/>
      <w:suff w:val="nothing"/>
      <w:lvlText w:val="%1"/>
      <w:lvlJc w:val="left"/>
      <w:pPr>
        <w:tabs>
          <w:tab w:val="left" w:pos="420"/>
        </w:tabs>
        <w:ind w:left="425" w:hanging="425"/>
      </w:pPr>
      <w:rPr>
        <w:rFonts w:hint="default"/>
      </w:rPr>
    </w:lvl>
  </w:abstractNum>
  <w:abstractNum w:abstractNumId="75">
    <w:nsid w:val="61897E7B"/>
    <w:multiLevelType w:val="multilevel"/>
    <w:tmpl w:val="61897E7B"/>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6E9347B7"/>
    <w:multiLevelType w:val="singleLevel"/>
    <w:tmpl w:val="6E9347B7"/>
    <w:lvl w:ilvl="0" w:tentative="0">
      <w:start w:val="1"/>
      <w:numFmt w:val="decimal"/>
      <w:lvlText w:val="(%1)"/>
      <w:lvlJc w:val="left"/>
      <w:pPr>
        <w:tabs>
          <w:tab w:val="left" w:pos="420"/>
        </w:tabs>
        <w:ind w:left="845" w:hanging="425"/>
      </w:pPr>
      <w:rPr>
        <w:rFonts w:hint="default"/>
      </w:rPr>
    </w:lvl>
  </w:abstractNum>
  <w:abstractNum w:abstractNumId="77">
    <w:nsid w:val="70787CB3"/>
    <w:multiLevelType w:val="singleLevel"/>
    <w:tmpl w:val="70787CB3"/>
    <w:lvl w:ilvl="0" w:tentative="0">
      <w:start w:val="1"/>
      <w:numFmt w:val="decimal"/>
      <w:lvlText w:val="%1、"/>
      <w:lvlJc w:val="left"/>
      <w:pPr>
        <w:tabs>
          <w:tab w:val="left" w:pos="420"/>
        </w:tabs>
        <w:ind w:left="845" w:hanging="425"/>
      </w:pPr>
      <w:rPr>
        <w:rFonts w:hint="default"/>
      </w:rPr>
    </w:lvl>
  </w:abstractNum>
  <w:abstractNum w:abstractNumId="78">
    <w:nsid w:val="75688B56"/>
    <w:multiLevelType w:val="singleLevel"/>
    <w:tmpl w:val="75688B56"/>
    <w:lvl w:ilvl="0" w:tentative="0">
      <w:start w:val="1"/>
      <w:numFmt w:val="decimal"/>
      <w:suff w:val="nothing"/>
      <w:lvlText w:val="%1、"/>
      <w:lvlJc w:val="left"/>
      <w:pPr>
        <w:ind w:left="0" w:firstLine="403"/>
      </w:pPr>
      <w:rPr>
        <w:rFonts w:hint="default"/>
      </w:rPr>
    </w:lvl>
  </w:abstractNum>
  <w:abstractNum w:abstractNumId="79">
    <w:nsid w:val="79DAC7CE"/>
    <w:multiLevelType w:val="singleLevel"/>
    <w:tmpl w:val="79DAC7CE"/>
    <w:lvl w:ilvl="0" w:tentative="0">
      <w:start w:val="1"/>
      <w:numFmt w:val="decimal"/>
      <w:suff w:val="nothing"/>
      <w:lvlText w:val="%1、"/>
      <w:lvlJc w:val="left"/>
      <w:pPr>
        <w:ind w:left="0" w:firstLine="403"/>
      </w:pPr>
      <w:rPr>
        <w:rFonts w:hint="default"/>
      </w:rPr>
    </w:lvl>
  </w:abstractNum>
  <w:num w:numId="1">
    <w:abstractNumId w:val="45"/>
  </w:num>
  <w:num w:numId="2">
    <w:abstractNumId w:val="23"/>
  </w:num>
  <w:num w:numId="3">
    <w:abstractNumId w:val="21"/>
    <w:lvlOverride w:ilvl="0">
      <w:startOverride w:val="1"/>
    </w:lvlOverride>
  </w:num>
  <w:num w:numId="4">
    <w:abstractNumId w:val="20"/>
  </w:num>
  <w:num w:numId="5">
    <w:abstractNumId w:val="16"/>
  </w:num>
  <w:num w:numId="6">
    <w:abstractNumId w:val="77"/>
  </w:num>
  <w:num w:numId="7">
    <w:abstractNumId w:val="72"/>
  </w:num>
  <w:num w:numId="8">
    <w:abstractNumId w:val="17"/>
  </w:num>
  <w:num w:numId="9">
    <w:abstractNumId w:val="56"/>
  </w:num>
  <w:num w:numId="10">
    <w:abstractNumId w:val="70"/>
  </w:num>
  <w:num w:numId="11">
    <w:abstractNumId w:val="65"/>
  </w:num>
  <w:num w:numId="12">
    <w:abstractNumId w:val="15"/>
  </w:num>
  <w:num w:numId="13">
    <w:abstractNumId w:val="0"/>
  </w:num>
  <w:num w:numId="14">
    <w:abstractNumId w:val="5"/>
  </w:num>
  <w:num w:numId="15">
    <w:abstractNumId w:val="66"/>
  </w:num>
  <w:num w:numId="16">
    <w:abstractNumId w:val="69"/>
  </w:num>
  <w:num w:numId="17">
    <w:abstractNumId w:val="64"/>
  </w:num>
  <w:num w:numId="18">
    <w:abstractNumId w:val="12"/>
  </w:num>
  <w:num w:numId="19">
    <w:abstractNumId w:val="7"/>
  </w:num>
  <w:num w:numId="20">
    <w:abstractNumId w:val="1"/>
  </w:num>
  <w:num w:numId="21">
    <w:abstractNumId w:val="24"/>
  </w:num>
  <w:num w:numId="22">
    <w:abstractNumId w:val="18"/>
  </w:num>
  <w:num w:numId="23">
    <w:abstractNumId w:val="14"/>
  </w:num>
  <w:num w:numId="24">
    <w:abstractNumId w:val="54"/>
  </w:num>
  <w:num w:numId="25">
    <w:abstractNumId w:val="22"/>
  </w:num>
  <w:num w:numId="26">
    <w:abstractNumId w:val="25"/>
  </w:num>
  <w:num w:numId="27">
    <w:abstractNumId w:val="31"/>
  </w:num>
  <w:num w:numId="28">
    <w:abstractNumId w:val="27"/>
  </w:num>
  <w:num w:numId="29">
    <w:abstractNumId w:val="48"/>
  </w:num>
  <w:num w:numId="30">
    <w:abstractNumId w:val="51"/>
  </w:num>
  <w:num w:numId="31">
    <w:abstractNumId w:val="34"/>
  </w:num>
  <w:num w:numId="32">
    <w:abstractNumId w:val="57"/>
  </w:num>
  <w:num w:numId="33">
    <w:abstractNumId w:val="33"/>
  </w:num>
  <w:num w:numId="34">
    <w:abstractNumId w:val="30"/>
  </w:num>
  <w:num w:numId="35">
    <w:abstractNumId w:val="29"/>
  </w:num>
  <w:num w:numId="36">
    <w:abstractNumId w:val="28"/>
  </w:num>
  <w:num w:numId="37">
    <w:abstractNumId w:val="55"/>
  </w:num>
  <w:num w:numId="38">
    <w:abstractNumId w:val="44"/>
  </w:num>
  <w:num w:numId="39">
    <w:abstractNumId w:val="40"/>
  </w:num>
  <w:num w:numId="40">
    <w:abstractNumId w:val="59"/>
  </w:num>
  <w:num w:numId="41">
    <w:abstractNumId w:val="60"/>
  </w:num>
  <w:num w:numId="42">
    <w:abstractNumId w:val="36"/>
  </w:num>
  <w:num w:numId="43">
    <w:abstractNumId w:val="58"/>
  </w:num>
  <w:num w:numId="44">
    <w:abstractNumId w:val="52"/>
  </w:num>
  <w:num w:numId="45">
    <w:abstractNumId w:val="53"/>
  </w:num>
  <w:num w:numId="46">
    <w:abstractNumId w:val="47"/>
  </w:num>
  <w:num w:numId="47">
    <w:abstractNumId w:val="38"/>
  </w:num>
  <w:num w:numId="48">
    <w:abstractNumId w:val="41"/>
  </w:num>
  <w:num w:numId="49">
    <w:abstractNumId w:val="46"/>
  </w:num>
  <w:num w:numId="50">
    <w:abstractNumId w:val="32"/>
  </w:num>
  <w:num w:numId="51">
    <w:abstractNumId w:val="39"/>
  </w:num>
  <w:num w:numId="52">
    <w:abstractNumId w:val="37"/>
  </w:num>
  <w:num w:numId="53">
    <w:abstractNumId w:val="73"/>
  </w:num>
  <w:num w:numId="54">
    <w:abstractNumId w:val="11"/>
  </w:num>
  <w:num w:numId="55">
    <w:abstractNumId w:val="10"/>
  </w:num>
  <w:num w:numId="56">
    <w:abstractNumId w:val="13"/>
  </w:num>
  <w:num w:numId="57">
    <w:abstractNumId w:val="62"/>
  </w:num>
  <w:num w:numId="58">
    <w:abstractNumId w:val="6"/>
  </w:num>
  <w:num w:numId="59">
    <w:abstractNumId w:val="74"/>
  </w:num>
  <w:num w:numId="60">
    <w:abstractNumId w:val="3"/>
  </w:num>
  <w:num w:numId="61">
    <w:abstractNumId w:val="9"/>
  </w:num>
  <w:num w:numId="62">
    <w:abstractNumId w:val="35"/>
  </w:num>
  <w:num w:numId="63">
    <w:abstractNumId w:val="75"/>
  </w:num>
  <w:num w:numId="64">
    <w:abstractNumId w:val="42"/>
  </w:num>
  <w:num w:numId="65">
    <w:abstractNumId w:val="19"/>
  </w:num>
  <w:num w:numId="66">
    <w:abstractNumId w:val="2"/>
  </w:num>
  <w:num w:numId="67">
    <w:abstractNumId w:val="63"/>
  </w:num>
  <w:num w:numId="68">
    <w:abstractNumId w:val="4"/>
  </w:num>
  <w:num w:numId="69">
    <w:abstractNumId w:val="76"/>
  </w:num>
  <w:num w:numId="70">
    <w:abstractNumId w:val="79"/>
  </w:num>
  <w:num w:numId="71">
    <w:abstractNumId w:val="68"/>
  </w:num>
  <w:num w:numId="72">
    <w:abstractNumId w:val="78"/>
  </w:num>
  <w:num w:numId="73">
    <w:abstractNumId w:val="8"/>
  </w:num>
  <w:num w:numId="74">
    <w:abstractNumId w:val="61"/>
  </w:num>
  <w:num w:numId="75">
    <w:abstractNumId w:val="43"/>
  </w:num>
  <w:num w:numId="76">
    <w:abstractNumId w:val="49"/>
  </w:num>
  <w:num w:numId="77">
    <w:abstractNumId w:val="71"/>
  </w:num>
  <w:num w:numId="78">
    <w:abstractNumId w:val="50"/>
  </w:num>
  <w:num w:numId="79">
    <w:abstractNumId w:val="67"/>
  </w:num>
  <w:num w:numId="8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794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jNTIyMmE0NmMxMzg5NzkxNzQ5MmYzYjBjNTI2N2UifQ=="/>
  </w:docVars>
  <w:rsids>
    <w:rsidRoot w:val="00172A27"/>
    <w:rsid w:val="0000074B"/>
    <w:rsid w:val="000036E2"/>
    <w:rsid w:val="00003E09"/>
    <w:rsid w:val="0000491C"/>
    <w:rsid w:val="00004CA8"/>
    <w:rsid w:val="00004DB9"/>
    <w:rsid w:val="00004E7B"/>
    <w:rsid w:val="000058DD"/>
    <w:rsid w:val="000058FC"/>
    <w:rsid w:val="000060B2"/>
    <w:rsid w:val="00006B6E"/>
    <w:rsid w:val="00007053"/>
    <w:rsid w:val="000100D0"/>
    <w:rsid w:val="00010566"/>
    <w:rsid w:val="000106E6"/>
    <w:rsid w:val="00010DAB"/>
    <w:rsid w:val="000111BD"/>
    <w:rsid w:val="000118F7"/>
    <w:rsid w:val="00011FB2"/>
    <w:rsid w:val="000121E2"/>
    <w:rsid w:val="00013294"/>
    <w:rsid w:val="000132B5"/>
    <w:rsid w:val="00013438"/>
    <w:rsid w:val="000148E3"/>
    <w:rsid w:val="00016D1E"/>
    <w:rsid w:val="000174C4"/>
    <w:rsid w:val="00020212"/>
    <w:rsid w:val="0002099B"/>
    <w:rsid w:val="00021A09"/>
    <w:rsid w:val="000234CB"/>
    <w:rsid w:val="000236BC"/>
    <w:rsid w:val="00023731"/>
    <w:rsid w:val="0002381F"/>
    <w:rsid w:val="000249B5"/>
    <w:rsid w:val="00024BB7"/>
    <w:rsid w:val="0002580E"/>
    <w:rsid w:val="00025995"/>
    <w:rsid w:val="0002657B"/>
    <w:rsid w:val="0002678F"/>
    <w:rsid w:val="000267CF"/>
    <w:rsid w:val="000269E7"/>
    <w:rsid w:val="00030087"/>
    <w:rsid w:val="00030CB1"/>
    <w:rsid w:val="00030CC0"/>
    <w:rsid w:val="000317E9"/>
    <w:rsid w:val="000329CF"/>
    <w:rsid w:val="00032B93"/>
    <w:rsid w:val="00033404"/>
    <w:rsid w:val="00033A4F"/>
    <w:rsid w:val="0003720B"/>
    <w:rsid w:val="00040660"/>
    <w:rsid w:val="000409AE"/>
    <w:rsid w:val="00040EC6"/>
    <w:rsid w:val="000417D6"/>
    <w:rsid w:val="00041B2C"/>
    <w:rsid w:val="00041DD2"/>
    <w:rsid w:val="00042359"/>
    <w:rsid w:val="00042524"/>
    <w:rsid w:val="000443DB"/>
    <w:rsid w:val="00044575"/>
    <w:rsid w:val="00045506"/>
    <w:rsid w:val="00045791"/>
    <w:rsid w:val="00046390"/>
    <w:rsid w:val="00046981"/>
    <w:rsid w:val="00046B72"/>
    <w:rsid w:val="0004742D"/>
    <w:rsid w:val="00050054"/>
    <w:rsid w:val="00050A40"/>
    <w:rsid w:val="00050B8B"/>
    <w:rsid w:val="00051873"/>
    <w:rsid w:val="00051B7B"/>
    <w:rsid w:val="00053CCA"/>
    <w:rsid w:val="00054707"/>
    <w:rsid w:val="00056EBE"/>
    <w:rsid w:val="00057128"/>
    <w:rsid w:val="000575ED"/>
    <w:rsid w:val="00057A51"/>
    <w:rsid w:val="00060274"/>
    <w:rsid w:val="000603E6"/>
    <w:rsid w:val="000611AC"/>
    <w:rsid w:val="00061E05"/>
    <w:rsid w:val="000625EC"/>
    <w:rsid w:val="00062B41"/>
    <w:rsid w:val="00062B4F"/>
    <w:rsid w:val="00062EDE"/>
    <w:rsid w:val="00063D19"/>
    <w:rsid w:val="0006432A"/>
    <w:rsid w:val="0006502B"/>
    <w:rsid w:val="00065761"/>
    <w:rsid w:val="00065BD9"/>
    <w:rsid w:val="00065E39"/>
    <w:rsid w:val="00066A89"/>
    <w:rsid w:val="000704D8"/>
    <w:rsid w:val="000708F0"/>
    <w:rsid w:val="00070AB0"/>
    <w:rsid w:val="00070BF1"/>
    <w:rsid w:val="0007179E"/>
    <w:rsid w:val="00071933"/>
    <w:rsid w:val="0007225E"/>
    <w:rsid w:val="00072A2E"/>
    <w:rsid w:val="00072CE3"/>
    <w:rsid w:val="000743BC"/>
    <w:rsid w:val="00075BA0"/>
    <w:rsid w:val="0007603F"/>
    <w:rsid w:val="00077096"/>
    <w:rsid w:val="00077B50"/>
    <w:rsid w:val="00077EBB"/>
    <w:rsid w:val="00080803"/>
    <w:rsid w:val="000810ED"/>
    <w:rsid w:val="00081814"/>
    <w:rsid w:val="00081A06"/>
    <w:rsid w:val="000820C0"/>
    <w:rsid w:val="000821EF"/>
    <w:rsid w:val="0008229F"/>
    <w:rsid w:val="00083C08"/>
    <w:rsid w:val="00083FB6"/>
    <w:rsid w:val="000850CE"/>
    <w:rsid w:val="00085B49"/>
    <w:rsid w:val="00086EC7"/>
    <w:rsid w:val="00087B55"/>
    <w:rsid w:val="000900B7"/>
    <w:rsid w:val="0009020B"/>
    <w:rsid w:val="000908DF"/>
    <w:rsid w:val="00090DEF"/>
    <w:rsid w:val="000936ED"/>
    <w:rsid w:val="0009489E"/>
    <w:rsid w:val="00094CA2"/>
    <w:rsid w:val="00096EE3"/>
    <w:rsid w:val="00097012"/>
    <w:rsid w:val="0009712F"/>
    <w:rsid w:val="000A327D"/>
    <w:rsid w:val="000A328B"/>
    <w:rsid w:val="000A46AF"/>
    <w:rsid w:val="000A4DEC"/>
    <w:rsid w:val="000A6382"/>
    <w:rsid w:val="000A6708"/>
    <w:rsid w:val="000A74D6"/>
    <w:rsid w:val="000A79B6"/>
    <w:rsid w:val="000B0125"/>
    <w:rsid w:val="000B0972"/>
    <w:rsid w:val="000B0AA6"/>
    <w:rsid w:val="000B11B6"/>
    <w:rsid w:val="000B25D9"/>
    <w:rsid w:val="000B3B4B"/>
    <w:rsid w:val="000B3CD4"/>
    <w:rsid w:val="000B4308"/>
    <w:rsid w:val="000B5589"/>
    <w:rsid w:val="000B586A"/>
    <w:rsid w:val="000B593E"/>
    <w:rsid w:val="000B5B22"/>
    <w:rsid w:val="000B70AD"/>
    <w:rsid w:val="000B7204"/>
    <w:rsid w:val="000B72F7"/>
    <w:rsid w:val="000C11A1"/>
    <w:rsid w:val="000C130C"/>
    <w:rsid w:val="000C1320"/>
    <w:rsid w:val="000C22C6"/>
    <w:rsid w:val="000C2E07"/>
    <w:rsid w:val="000C3DCB"/>
    <w:rsid w:val="000C443B"/>
    <w:rsid w:val="000C4D48"/>
    <w:rsid w:val="000C6440"/>
    <w:rsid w:val="000C6A9D"/>
    <w:rsid w:val="000D1368"/>
    <w:rsid w:val="000D21C4"/>
    <w:rsid w:val="000D2655"/>
    <w:rsid w:val="000D2DF8"/>
    <w:rsid w:val="000D38C7"/>
    <w:rsid w:val="000D51A5"/>
    <w:rsid w:val="000D68D1"/>
    <w:rsid w:val="000D7ACB"/>
    <w:rsid w:val="000D7DF7"/>
    <w:rsid w:val="000D7E48"/>
    <w:rsid w:val="000D7F52"/>
    <w:rsid w:val="000E0D72"/>
    <w:rsid w:val="000E1725"/>
    <w:rsid w:val="000E1C26"/>
    <w:rsid w:val="000E231F"/>
    <w:rsid w:val="000E2B94"/>
    <w:rsid w:val="000E30FC"/>
    <w:rsid w:val="000E42E2"/>
    <w:rsid w:val="000E5755"/>
    <w:rsid w:val="000E67EA"/>
    <w:rsid w:val="000E681D"/>
    <w:rsid w:val="000E6A01"/>
    <w:rsid w:val="000F139B"/>
    <w:rsid w:val="000F1F1D"/>
    <w:rsid w:val="000F439F"/>
    <w:rsid w:val="000F4C20"/>
    <w:rsid w:val="000F562E"/>
    <w:rsid w:val="000F6478"/>
    <w:rsid w:val="000F6A48"/>
    <w:rsid w:val="000F6D1A"/>
    <w:rsid w:val="000F73E0"/>
    <w:rsid w:val="000F7AC6"/>
    <w:rsid w:val="0010130B"/>
    <w:rsid w:val="00101456"/>
    <w:rsid w:val="001015CC"/>
    <w:rsid w:val="00101F47"/>
    <w:rsid w:val="00102BA1"/>
    <w:rsid w:val="00103C86"/>
    <w:rsid w:val="00103E58"/>
    <w:rsid w:val="00104C29"/>
    <w:rsid w:val="00105D1D"/>
    <w:rsid w:val="00106058"/>
    <w:rsid w:val="0010633D"/>
    <w:rsid w:val="00110128"/>
    <w:rsid w:val="00110474"/>
    <w:rsid w:val="00111979"/>
    <w:rsid w:val="0011277D"/>
    <w:rsid w:val="00112B53"/>
    <w:rsid w:val="00114910"/>
    <w:rsid w:val="00114D56"/>
    <w:rsid w:val="001150E7"/>
    <w:rsid w:val="00115D32"/>
    <w:rsid w:val="0011683F"/>
    <w:rsid w:val="00116C90"/>
    <w:rsid w:val="001175F0"/>
    <w:rsid w:val="001208AA"/>
    <w:rsid w:val="00120B87"/>
    <w:rsid w:val="00121174"/>
    <w:rsid w:val="00121B63"/>
    <w:rsid w:val="00122772"/>
    <w:rsid w:val="0012420D"/>
    <w:rsid w:val="00124287"/>
    <w:rsid w:val="001262E1"/>
    <w:rsid w:val="001266AA"/>
    <w:rsid w:val="0012761F"/>
    <w:rsid w:val="00131055"/>
    <w:rsid w:val="00131395"/>
    <w:rsid w:val="001315EB"/>
    <w:rsid w:val="001328E5"/>
    <w:rsid w:val="00132F03"/>
    <w:rsid w:val="00133418"/>
    <w:rsid w:val="00133DCE"/>
    <w:rsid w:val="00134230"/>
    <w:rsid w:val="001349B9"/>
    <w:rsid w:val="00134B3E"/>
    <w:rsid w:val="001356F4"/>
    <w:rsid w:val="001358B5"/>
    <w:rsid w:val="00135B54"/>
    <w:rsid w:val="00135D63"/>
    <w:rsid w:val="001363BC"/>
    <w:rsid w:val="00136CFE"/>
    <w:rsid w:val="001374E2"/>
    <w:rsid w:val="00137AE4"/>
    <w:rsid w:val="00137EA0"/>
    <w:rsid w:val="0014066D"/>
    <w:rsid w:val="001411D4"/>
    <w:rsid w:val="001415DA"/>
    <w:rsid w:val="001426D5"/>
    <w:rsid w:val="00142D57"/>
    <w:rsid w:val="00143F18"/>
    <w:rsid w:val="0014472D"/>
    <w:rsid w:val="00144C8F"/>
    <w:rsid w:val="00146DCE"/>
    <w:rsid w:val="00146E10"/>
    <w:rsid w:val="0014776A"/>
    <w:rsid w:val="00152DD9"/>
    <w:rsid w:val="00152E80"/>
    <w:rsid w:val="00153104"/>
    <w:rsid w:val="0015358F"/>
    <w:rsid w:val="001542F7"/>
    <w:rsid w:val="00154D49"/>
    <w:rsid w:val="00154EE0"/>
    <w:rsid w:val="00154FF9"/>
    <w:rsid w:val="00155BDF"/>
    <w:rsid w:val="00156A24"/>
    <w:rsid w:val="001571A3"/>
    <w:rsid w:val="00157E90"/>
    <w:rsid w:val="00160201"/>
    <w:rsid w:val="00161539"/>
    <w:rsid w:val="00162A8A"/>
    <w:rsid w:val="00162B10"/>
    <w:rsid w:val="00163200"/>
    <w:rsid w:val="0016495E"/>
    <w:rsid w:val="00164B2C"/>
    <w:rsid w:val="001654B5"/>
    <w:rsid w:val="00165511"/>
    <w:rsid w:val="00165BAF"/>
    <w:rsid w:val="00166799"/>
    <w:rsid w:val="0016774A"/>
    <w:rsid w:val="001704BD"/>
    <w:rsid w:val="001707DB"/>
    <w:rsid w:val="00171A28"/>
    <w:rsid w:val="00172F58"/>
    <w:rsid w:val="001731FF"/>
    <w:rsid w:val="00174C4B"/>
    <w:rsid w:val="00174D14"/>
    <w:rsid w:val="00174D26"/>
    <w:rsid w:val="0017524B"/>
    <w:rsid w:val="001753A1"/>
    <w:rsid w:val="001753F0"/>
    <w:rsid w:val="00177271"/>
    <w:rsid w:val="0017742C"/>
    <w:rsid w:val="001777D9"/>
    <w:rsid w:val="00177A6B"/>
    <w:rsid w:val="00180F66"/>
    <w:rsid w:val="00182D33"/>
    <w:rsid w:val="00183010"/>
    <w:rsid w:val="001832CE"/>
    <w:rsid w:val="00183EAA"/>
    <w:rsid w:val="00184082"/>
    <w:rsid w:val="00185BB2"/>
    <w:rsid w:val="00185FFC"/>
    <w:rsid w:val="001867DA"/>
    <w:rsid w:val="00186960"/>
    <w:rsid w:val="00187004"/>
    <w:rsid w:val="00187F78"/>
    <w:rsid w:val="00190FB2"/>
    <w:rsid w:val="00191A9A"/>
    <w:rsid w:val="00191E1B"/>
    <w:rsid w:val="001936EC"/>
    <w:rsid w:val="00193B53"/>
    <w:rsid w:val="00193B6C"/>
    <w:rsid w:val="00193DC2"/>
    <w:rsid w:val="00194906"/>
    <w:rsid w:val="00196615"/>
    <w:rsid w:val="0019706A"/>
    <w:rsid w:val="0019759C"/>
    <w:rsid w:val="001A027E"/>
    <w:rsid w:val="001A07AA"/>
    <w:rsid w:val="001A127F"/>
    <w:rsid w:val="001A17C1"/>
    <w:rsid w:val="001A2880"/>
    <w:rsid w:val="001A2E7D"/>
    <w:rsid w:val="001A39E0"/>
    <w:rsid w:val="001A3A7F"/>
    <w:rsid w:val="001A4A50"/>
    <w:rsid w:val="001A5BCB"/>
    <w:rsid w:val="001A64C4"/>
    <w:rsid w:val="001B067C"/>
    <w:rsid w:val="001B2289"/>
    <w:rsid w:val="001B2521"/>
    <w:rsid w:val="001B3128"/>
    <w:rsid w:val="001B34CF"/>
    <w:rsid w:val="001B605A"/>
    <w:rsid w:val="001B63DC"/>
    <w:rsid w:val="001B69E3"/>
    <w:rsid w:val="001B6DBC"/>
    <w:rsid w:val="001B6DF8"/>
    <w:rsid w:val="001B7037"/>
    <w:rsid w:val="001B70A6"/>
    <w:rsid w:val="001B73CE"/>
    <w:rsid w:val="001B7B2D"/>
    <w:rsid w:val="001C0056"/>
    <w:rsid w:val="001C03EC"/>
    <w:rsid w:val="001C049A"/>
    <w:rsid w:val="001C05D6"/>
    <w:rsid w:val="001C0E05"/>
    <w:rsid w:val="001C1641"/>
    <w:rsid w:val="001C16CC"/>
    <w:rsid w:val="001C19DF"/>
    <w:rsid w:val="001C1A99"/>
    <w:rsid w:val="001C1EA4"/>
    <w:rsid w:val="001C1F19"/>
    <w:rsid w:val="001C2312"/>
    <w:rsid w:val="001C26E8"/>
    <w:rsid w:val="001C2BBC"/>
    <w:rsid w:val="001C383D"/>
    <w:rsid w:val="001C3E7E"/>
    <w:rsid w:val="001C4987"/>
    <w:rsid w:val="001C5070"/>
    <w:rsid w:val="001C612D"/>
    <w:rsid w:val="001C7A46"/>
    <w:rsid w:val="001C7D2D"/>
    <w:rsid w:val="001C7D66"/>
    <w:rsid w:val="001D037F"/>
    <w:rsid w:val="001D11E6"/>
    <w:rsid w:val="001D1437"/>
    <w:rsid w:val="001D167D"/>
    <w:rsid w:val="001D2E6D"/>
    <w:rsid w:val="001D37B6"/>
    <w:rsid w:val="001D502B"/>
    <w:rsid w:val="001D548B"/>
    <w:rsid w:val="001D6E7D"/>
    <w:rsid w:val="001E1213"/>
    <w:rsid w:val="001E16D2"/>
    <w:rsid w:val="001E1A3E"/>
    <w:rsid w:val="001E2DBB"/>
    <w:rsid w:val="001E339B"/>
    <w:rsid w:val="001E3FF6"/>
    <w:rsid w:val="001E448E"/>
    <w:rsid w:val="001E4644"/>
    <w:rsid w:val="001E4675"/>
    <w:rsid w:val="001E4C04"/>
    <w:rsid w:val="001E60A0"/>
    <w:rsid w:val="001E60E4"/>
    <w:rsid w:val="001E6310"/>
    <w:rsid w:val="001F154F"/>
    <w:rsid w:val="001F20F7"/>
    <w:rsid w:val="001F324B"/>
    <w:rsid w:val="001F4112"/>
    <w:rsid w:val="001F5555"/>
    <w:rsid w:val="001F6B53"/>
    <w:rsid w:val="001F6D92"/>
    <w:rsid w:val="001F6DD7"/>
    <w:rsid w:val="001F731D"/>
    <w:rsid w:val="00200AD4"/>
    <w:rsid w:val="00201327"/>
    <w:rsid w:val="0020217A"/>
    <w:rsid w:val="002027D9"/>
    <w:rsid w:val="00204A86"/>
    <w:rsid w:val="00205098"/>
    <w:rsid w:val="00205512"/>
    <w:rsid w:val="0020561A"/>
    <w:rsid w:val="0020655E"/>
    <w:rsid w:val="00206E0E"/>
    <w:rsid w:val="002071CA"/>
    <w:rsid w:val="002072CA"/>
    <w:rsid w:val="00207938"/>
    <w:rsid w:val="0021032F"/>
    <w:rsid w:val="0021122C"/>
    <w:rsid w:val="00211C4E"/>
    <w:rsid w:val="00212B11"/>
    <w:rsid w:val="00213153"/>
    <w:rsid w:val="00213211"/>
    <w:rsid w:val="00213D1C"/>
    <w:rsid w:val="00214318"/>
    <w:rsid w:val="0021563F"/>
    <w:rsid w:val="002170CB"/>
    <w:rsid w:val="0021746C"/>
    <w:rsid w:val="00220D09"/>
    <w:rsid w:val="002210C8"/>
    <w:rsid w:val="002217E4"/>
    <w:rsid w:val="00221E9B"/>
    <w:rsid w:val="002223F5"/>
    <w:rsid w:val="002227F2"/>
    <w:rsid w:val="00222B9B"/>
    <w:rsid w:val="00224252"/>
    <w:rsid w:val="00224578"/>
    <w:rsid w:val="00224819"/>
    <w:rsid w:val="00225DDC"/>
    <w:rsid w:val="002260D2"/>
    <w:rsid w:val="0022669C"/>
    <w:rsid w:val="002272DD"/>
    <w:rsid w:val="00227E65"/>
    <w:rsid w:val="00231048"/>
    <w:rsid w:val="00231E78"/>
    <w:rsid w:val="002323E7"/>
    <w:rsid w:val="002325DA"/>
    <w:rsid w:val="00232D75"/>
    <w:rsid w:val="002332D3"/>
    <w:rsid w:val="00233853"/>
    <w:rsid w:val="00233A37"/>
    <w:rsid w:val="00233DBF"/>
    <w:rsid w:val="00234506"/>
    <w:rsid w:val="00234936"/>
    <w:rsid w:val="00236929"/>
    <w:rsid w:val="00236EC4"/>
    <w:rsid w:val="00237731"/>
    <w:rsid w:val="00237BD8"/>
    <w:rsid w:val="00237D1A"/>
    <w:rsid w:val="002402A1"/>
    <w:rsid w:val="0024053F"/>
    <w:rsid w:val="00240CB3"/>
    <w:rsid w:val="00241B3F"/>
    <w:rsid w:val="00242313"/>
    <w:rsid w:val="00242D99"/>
    <w:rsid w:val="00243187"/>
    <w:rsid w:val="00243588"/>
    <w:rsid w:val="00243931"/>
    <w:rsid w:val="00243E97"/>
    <w:rsid w:val="002442E3"/>
    <w:rsid w:val="00244C48"/>
    <w:rsid w:val="0024554D"/>
    <w:rsid w:val="00245691"/>
    <w:rsid w:val="00245FFE"/>
    <w:rsid w:val="00246BCE"/>
    <w:rsid w:val="00247264"/>
    <w:rsid w:val="002473A7"/>
    <w:rsid w:val="00247971"/>
    <w:rsid w:val="002503F3"/>
    <w:rsid w:val="00251E94"/>
    <w:rsid w:val="002536E2"/>
    <w:rsid w:val="00253CA1"/>
    <w:rsid w:val="002541BD"/>
    <w:rsid w:val="0025425D"/>
    <w:rsid w:val="002545CC"/>
    <w:rsid w:val="00254B19"/>
    <w:rsid w:val="002553CE"/>
    <w:rsid w:val="00255E88"/>
    <w:rsid w:val="0025612C"/>
    <w:rsid w:val="002568F6"/>
    <w:rsid w:val="002570B5"/>
    <w:rsid w:val="00257828"/>
    <w:rsid w:val="00260393"/>
    <w:rsid w:val="00261609"/>
    <w:rsid w:val="00261A40"/>
    <w:rsid w:val="00261B73"/>
    <w:rsid w:val="002620C2"/>
    <w:rsid w:val="00263420"/>
    <w:rsid w:val="00263AD9"/>
    <w:rsid w:val="002640A7"/>
    <w:rsid w:val="0026435D"/>
    <w:rsid w:val="002643A6"/>
    <w:rsid w:val="00264F5E"/>
    <w:rsid w:val="00265A9C"/>
    <w:rsid w:val="00267AA8"/>
    <w:rsid w:val="00270480"/>
    <w:rsid w:val="002710DC"/>
    <w:rsid w:val="00271365"/>
    <w:rsid w:val="002715B4"/>
    <w:rsid w:val="00271DFA"/>
    <w:rsid w:val="00273045"/>
    <w:rsid w:val="00273980"/>
    <w:rsid w:val="00273B05"/>
    <w:rsid w:val="002750BF"/>
    <w:rsid w:val="00275320"/>
    <w:rsid w:val="00275D98"/>
    <w:rsid w:val="00275FDF"/>
    <w:rsid w:val="00276949"/>
    <w:rsid w:val="002774CE"/>
    <w:rsid w:val="002777A7"/>
    <w:rsid w:val="002779F6"/>
    <w:rsid w:val="00277E27"/>
    <w:rsid w:val="00277EBB"/>
    <w:rsid w:val="00280381"/>
    <w:rsid w:val="002805BE"/>
    <w:rsid w:val="00280840"/>
    <w:rsid w:val="00280ADB"/>
    <w:rsid w:val="00280FC4"/>
    <w:rsid w:val="00282432"/>
    <w:rsid w:val="002827FB"/>
    <w:rsid w:val="00283C42"/>
    <w:rsid w:val="00283E50"/>
    <w:rsid w:val="00284A69"/>
    <w:rsid w:val="00285488"/>
    <w:rsid w:val="00285A4E"/>
    <w:rsid w:val="00287805"/>
    <w:rsid w:val="00290F18"/>
    <w:rsid w:val="0029129D"/>
    <w:rsid w:val="00291846"/>
    <w:rsid w:val="00292553"/>
    <w:rsid w:val="00292A4B"/>
    <w:rsid w:val="00293DFF"/>
    <w:rsid w:val="0029423A"/>
    <w:rsid w:val="0029559B"/>
    <w:rsid w:val="0029585A"/>
    <w:rsid w:val="0029589D"/>
    <w:rsid w:val="002965D6"/>
    <w:rsid w:val="002974AA"/>
    <w:rsid w:val="002A16E6"/>
    <w:rsid w:val="002A24BE"/>
    <w:rsid w:val="002A260B"/>
    <w:rsid w:val="002A30B9"/>
    <w:rsid w:val="002A40F2"/>
    <w:rsid w:val="002A67EB"/>
    <w:rsid w:val="002A7D49"/>
    <w:rsid w:val="002B0E1F"/>
    <w:rsid w:val="002B146A"/>
    <w:rsid w:val="002B2854"/>
    <w:rsid w:val="002B309B"/>
    <w:rsid w:val="002B3156"/>
    <w:rsid w:val="002B40CA"/>
    <w:rsid w:val="002B4277"/>
    <w:rsid w:val="002B4474"/>
    <w:rsid w:val="002B44B8"/>
    <w:rsid w:val="002B47AA"/>
    <w:rsid w:val="002B47BB"/>
    <w:rsid w:val="002B48C5"/>
    <w:rsid w:val="002B4BB7"/>
    <w:rsid w:val="002B6F78"/>
    <w:rsid w:val="002B7DB9"/>
    <w:rsid w:val="002C01FD"/>
    <w:rsid w:val="002C108E"/>
    <w:rsid w:val="002C16B5"/>
    <w:rsid w:val="002C1ADD"/>
    <w:rsid w:val="002C20E7"/>
    <w:rsid w:val="002C216C"/>
    <w:rsid w:val="002C2A3A"/>
    <w:rsid w:val="002C2B72"/>
    <w:rsid w:val="002C2E14"/>
    <w:rsid w:val="002C3474"/>
    <w:rsid w:val="002C3908"/>
    <w:rsid w:val="002C48C4"/>
    <w:rsid w:val="002C5A85"/>
    <w:rsid w:val="002C662F"/>
    <w:rsid w:val="002C6DA2"/>
    <w:rsid w:val="002C742B"/>
    <w:rsid w:val="002D01EA"/>
    <w:rsid w:val="002D1BBE"/>
    <w:rsid w:val="002D1F78"/>
    <w:rsid w:val="002D246F"/>
    <w:rsid w:val="002D28F2"/>
    <w:rsid w:val="002D4AB1"/>
    <w:rsid w:val="002D6AD6"/>
    <w:rsid w:val="002D6DFD"/>
    <w:rsid w:val="002D7FC6"/>
    <w:rsid w:val="002E0F66"/>
    <w:rsid w:val="002E1DA6"/>
    <w:rsid w:val="002E21B3"/>
    <w:rsid w:val="002E2B17"/>
    <w:rsid w:val="002E300A"/>
    <w:rsid w:val="002E33B5"/>
    <w:rsid w:val="002E35AE"/>
    <w:rsid w:val="002E6D4A"/>
    <w:rsid w:val="002E71EC"/>
    <w:rsid w:val="002E7570"/>
    <w:rsid w:val="002F04D5"/>
    <w:rsid w:val="002F0516"/>
    <w:rsid w:val="002F0832"/>
    <w:rsid w:val="002F181F"/>
    <w:rsid w:val="002F26AF"/>
    <w:rsid w:val="002F2C8F"/>
    <w:rsid w:val="002F3702"/>
    <w:rsid w:val="002F52FF"/>
    <w:rsid w:val="002F70D6"/>
    <w:rsid w:val="002F7A49"/>
    <w:rsid w:val="002F7AF1"/>
    <w:rsid w:val="0030035B"/>
    <w:rsid w:val="00301A3F"/>
    <w:rsid w:val="003024D4"/>
    <w:rsid w:val="003028F7"/>
    <w:rsid w:val="00303A13"/>
    <w:rsid w:val="00303BD3"/>
    <w:rsid w:val="00304C01"/>
    <w:rsid w:val="003059DA"/>
    <w:rsid w:val="00305DDE"/>
    <w:rsid w:val="0030624F"/>
    <w:rsid w:val="00306302"/>
    <w:rsid w:val="003075B5"/>
    <w:rsid w:val="00310AFE"/>
    <w:rsid w:val="00311EFC"/>
    <w:rsid w:val="00312850"/>
    <w:rsid w:val="0031354E"/>
    <w:rsid w:val="003136B9"/>
    <w:rsid w:val="00313AFD"/>
    <w:rsid w:val="00313B73"/>
    <w:rsid w:val="00314BF7"/>
    <w:rsid w:val="0031606A"/>
    <w:rsid w:val="00316A51"/>
    <w:rsid w:val="00316CA6"/>
    <w:rsid w:val="00316F24"/>
    <w:rsid w:val="00316F75"/>
    <w:rsid w:val="00317A97"/>
    <w:rsid w:val="00317EDC"/>
    <w:rsid w:val="00322CA4"/>
    <w:rsid w:val="00322F77"/>
    <w:rsid w:val="00323182"/>
    <w:rsid w:val="00325387"/>
    <w:rsid w:val="00325987"/>
    <w:rsid w:val="00326BA8"/>
    <w:rsid w:val="00326E3E"/>
    <w:rsid w:val="00327936"/>
    <w:rsid w:val="003306D4"/>
    <w:rsid w:val="00330B92"/>
    <w:rsid w:val="00331D83"/>
    <w:rsid w:val="00332E4A"/>
    <w:rsid w:val="00334A70"/>
    <w:rsid w:val="00335C7E"/>
    <w:rsid w:val="003374A1"/>
    <w:rsid w:val="003379BE"/>
    <w:rsid w:val="00340270"/>
    <w:rsid w:val="0034028A"/>
    <w:rsid w:val="0034049B"/>
    <w:rsid w:val="003415F7"/>
    <w:rsid w:val="00342B55"/>
    <w:rsid w:val="00343BD3"/>
    <w:rsid w:val="003441B9"/>
    <w:rsid w:val="00344767"/>
    <w:rsid w:val="003454BD"/>
    <w:rsid w:val="0034738E"/>
    <w:rsid w:val="00347884"/>
    <w:rsid w:val="0035101B"/>
    <w:rsid w:val="00351107"/>
    <w:rsid w:val="00351C18"/>
    <w:rsid w:val="00351E56"/>
    <w:rsid w:val="0035250E"/>
    <w:rsid w:val="00353156"/>
    <w:rsid w:val="0035349F"/>
    <w:rsid w:val="003539CB"/>
    <w:rsid w:val="00353ACF"/>
    <w:rsid w:val="00353D23"/>
    <w:rsid w:val="00354C1B"/>
    <w:rsid w:val="003559CD"/>
    <w:rsid w:val="00355B01"/>
    <w:rsid w:val="003561DC"/>
    <w:rsid w:val="0035700D"/>
    <w:rsid w:val="003571C0"/>
    <w:rsid w:val="00357203"/>
    <w:rsid w:val="00360D45"/>
    <w:rsid w:val="00361A77"/>
    <w:rsid w:val="00361AF4"/>
    <w:rsid w:val="00361C91"/>
    <w:rsid w:val="0036229C"/>
    <w:rsid w:val="00362B40"/>
    <w:rsid w:val="00362D3A"/>
    <w:rsid w:val="0036347E"/>
    <w:rsid w:val="00364DB5"/>
    <w:rsid w:val="0036512D"/>
    <w:rsid w:val="00367E2B"/>
    <w:rsid w:val="00370264"/>
    <w:rsid w:val="00371C6C"/>
    <w:rsid w:val="00371ED2"/>
    <w:rsid w:val="00371EFA"/>
    <w:rsid w:val="00372752"/>
    <w:rsid w:val="00372B4C"/>
    <w:rsid w:val="00373035"/>
    <w:rsid w:val="0037303C"/>
    <w:rsid w:val="00373089"/>
    <w:rsid w:val="003733FA"/>
    <w:rsid w:val="0037465B"/>
    <w:rsid w:val="00375E18"/>
    <w:rsid w:val="00375FCB"/>
    <w:rsid w:val="00377735"/>
    <w:rsid w:val="0038011F"/>
    <w:rsid w:val="0038079F"/>
    <w:rsid w:val="003809F4"/>
    <w:rsid w:val="00381A74"/>
    <w:rsid w:val="0038249D"/>
    <w:rsid w:val="00382B46"/>
    <w:rsid w:val="00383C9F"/>
    <w:rsid w:val="00383FAC"/>
    <w:rsid w:val="003854BB"/>
    <w:rsid w:val="00385FCA"/>
    <w:rsid w:val="00385FDB"/>
    <w:rsid w:val="00387257"/>
    <w:rsid w:val="0038770E"/>
    <w:rsid w:val="00390458"/>
    <w:rsid w:val="003917F6"/>
    <w:rsid w:val="00394481"/>
    <w:rsid w:val="0039490D"/>
    <w:rsid w:val="00394A10"/>
    <w:rsid w:val="00394BBA"/>
    <w:rsid w:val="00394CCC"/>
    <w:rsid w:val="0039509E"/>
    <w:rsid w:val="00395AE0"/>
    <w:rsid w:val="00396447"/>
    <w:rsid w:val="0039692C"/>
    <w:rsid w:val="003A016F"/>
    <w:rsid w:val="003A1B21"/>
    <w:rsid w:val="003A2FDF"/>
    <w:rsid w:val="003A3753"/>
    <w:rsid w:val="003A400B"/>
    <w:rsid w:val="003A4D88"/>
    <w:rsid w:val="003A59B2"/>
    <w:rsid w:val="003A5C23"/>
    <w:rsid w:val="003A5D3B"/>
    <w:rsid w:val="003A641B"/>
    <w:rsid w:val="003A6BB5"/>
    <w:rsid w:val="003A6ED5"/>
    <w:rsid w:val="003A7AA7"/>
    <w:rsid w:val="003B007A"/>
    <w:rsid w:val="003B04FD"/>
    <w:rsid w:val="003B06F4"/>
    <w:rsid w:val="003B156E"/>
    <w:rsid w:val="003B1E8E"/>
    <w:rsid w:val="003B2C79"/>
    <w:rsid w:val="003B364D"/>
    <w:rsid w:val="003B3E48"/>
    <w:rsid w:val="003B5266"/>
    <w:rsid w:val="003B676E"/>
    <w:rsid w:val="003B6A0F"/>
    <w:rsid w:val="003B6CB8"/>
    <w:rsid w:val="003C178B"/>
    <w:rsid w:val="003C2528"/>
    <w:rsid w:val="003C291F"/>
    <w:rsid w:val="003C3994"/>
    <w:rsid w:val="003C3C5C"/>
    <w:rsid w:val="003C5605"/>
    <w:rsid w:val="003C5960"/>
    <w:rsid w:val="003C6728"/>
    <w:rsid w:val="003C6ECD"/>
    <w:rsid w:val="003D0466"/>
    <w:rsid w:val="003D0FEC"/>
    <w:rsid w:val="003D1075"/>
    <w:rsid w:val="003D1817"/>
    <w:rsid w:val="003D37EC"/>
    <w:rsid w:val="003D3C2E"/>
    <w:rsid w:val="003D3E93"/>
    <w:rsid w:val="003D4064"/>
    <w:rsid w:val="003D43A9"/>
    <w:rsid w:val="003D4C22"/>
    <w:rsid w:val="003D5249"/>
    <w:rsid w:val="003D592D"/>
    <w:rsid w:val="003E1BFA"/>
    <w:rsid w:val="003E22E0"/>
    <w:rsid w:val="003E2555"/>
    <w:rsid w:val="003E2778"/>
    <w:rsid w:val="003E49AD"/>
    <w:rsid w:val="003E5134"/>
    <w:rsid w:val="003E5160"/>
    <w:rsid w:val="003E56C3"/>
    <w:rsid w:val="003E612D"/>
    <w:rsid w:val="003E6347"/>
    <w:rsid w:val="003E6F4F"/>
    <w:rsid w:val="003F0C39"/>
    <w:rsid w:val="003F0D83"/>
    <w:rsid w:val="003F1317"/>
    <w:rsid w:val="003F2A30"/>
    <w:rsid w:val="003F386F"/>
    <w:rsid w:val="003F4736"/>
    <w:rsid w:val="003F5D43"/>
    <w:rsid w:val="003F6532"/>
    <w:rsid w:val="003F69A4"/>
    <w:rsid w:val="004000F2"/>
    <w:rsid w:val="0040098C"/>
    <w:rsid w:val="00400DC4"/>
    <w:rsid w:val="00401962"/>
    <w:rsid w:val="00402150"/>
    <w:rsid w:val="00403547"/>
    <w:rsid w:val="0040406C"/>
    <w:rsid w:val="00404F04"/>
    <w:rsid w:val="00405012"/>
    <w:rsid w:val="004058DA"/>
    <w:rsid w:val="00405C7E"/>
    <w:rsid w:val="00405F80"/>
    <w:rsid w:val="0040613D"/>
    <w:rsid w:val="00407006"/>
    <w:rsid w:val="004072E4"/>
    <w:rsid w:val="00407F88"/>
    <w:rsid w:val="00410F43"/>
    <w:rsid w:val="004126E3"/>
    <w:rsid w:val="00413065"/>
    <w:rsid w:val="0041398D"/>
    <w:rsid w:val="00413A9C"/>
    <w:rsid w:val="0041402E"/>
    <w:rsid w:val="004159FA"/>
    <w:rsid w:val="00416036"/>
    <w:rsid w:val="0041621D"/>
    <w:rsid w:val="0041743D"/>
    <w:rsid w:val="004176F9"/>
    <w:rsid w:val="00420B92"/>
    <w:rsid w:val="00420D55"/>
    <w:rsid w:val="00421006"/>
    <w:rsid w:val="00421DA9"/>
    <w:rsid w:val="00421F94"/>
    <w:rsid w:val="004234D1"/>
    <w:rsid w:val="004240CF"/>
    <w:rsid w:val="00424D51"/>
    <w:rsid w:val="004250AE"/>
    <w:rsid w:val="00425C9A"/>
    <w:rsid w:val="00425DE5"/>
    <w:rsid w:val="00425F54"/>
    <w:rsid w:val="0042681E"/>
    <w:rsid w:val="004271D6"/>
    <w:rsid w:val="004277A6"/>
    <w:rsid w:val="00430C7E"/>
    <w:rsid w:val="00431996"/>
    <w:rsid w:val="00433873"/>
    <w:rsid w:val="00433D7B"/>
    <w:rsid w:val="00434572"/>
    <w:rsid w:val="0043487B"/>
    <w:rsid w:val="00434FFC"/>
    <w:rsid w:val="004357A8"/>
    <w:rsid w:val="00435A57"/>
    <w:rsid w:val="004361E4"/>
    <w:rsid w:val="00436353"/>
    <w:rsid w:val="00436625"/>
    <w:rsid w:val="00436849"/>
    <w:rsid w:val="004369A3"/>
    <w:rsid w:val="004371D9"/>
    <w:rsid w:val="004379C3"/>
    <w:rsid w:val="00437BF6"/>
    <w:rsid w:val="00440941"/>
    <w:rsid w:val="00441D82"/>
    <w:rsid w:val="004425D3"/>
    <w:rsid w:val="00442744"/>
    <w:rsid w:val="004427C8"/>
    <w:rsid w:val="00442D5F"/>
    <w:rsid w:val="004430D9"/>
    <w:rsid w:val="00443EA7"/>
    <w:rsid w:val="00444678"/>
    <w:rsid w:val="004446F2"/>
    <w:rsid w:val="00444853"/>
    <w:rsid w:val="00444A5E"/>
    <w:rsid w:val="004459CE"/>
    <w:rsid w:val="00447BCD"/>
    <w:rsid w:val="00447D23"/>
    <w:rsid w:val="0045057B"/>
    <w:rsid w:val="004518A5"/>
    <w:rsid w:val="0045226C"/>
    <w:rsid w:val="004527BE"/>
    <w:rsid w:val="00454C3B"/>
    <w:rsid w:val="00455785"/>
    <w:rsid w:val="004557B5"/>
    <w:rsid w:val="00455853"/>
    <w:rsid w:val="00455A54"/>
    <w:rsid w:val="00455AC4"/>
    <w:rsid w:val="00456438"/>
    <w:rsid w:val="00456B57"/>
    <w:rsid w:val="004577FD"/>
    <w:rsid w:val="00457EC5"/>
    <w:rsid w:val="00460332"/>
    <w:rsid w:val="00461100"/>
    <w:rsid w:val="00461644"/>
    <w:rsid w:val="00461981"/>
    <w:rsid w:val="00461EDD"/>
    <w:rsid w:val="00462589"/>
    <w:rsid w:val="00462A47"/>
    <w:rsid w:val="00462E43"/>
    <w:rsid w:val="00462EF6"/>
    <w:rsid w:val="00464C96"/>
    <w:rsid w:val="0046567E"/>
    <w:rsid w:val="0046584E"/>
    <w:rsid w:val="0046599C"/>
    <w:rsid w:val="00470052"/>
    <w:rsid w:val="00471225"/>
    <w:rsid w:val="004719DE"/>
    <w:rsid w:val="00473013"/>
    <w:rsid w:val="004732B3"/>
    <w:rsid w:val="00474BAE"/>
    <w:rsid w:val="004772E1"/>
    <w:rsid w:val="00477F75"/>
    <w:rsid w:val="0048020C"/>
    <w:rsid w:val="0048045D"/>
    <w:rsid w:val="0048057C"/>
    <w:rsid w:val="00480BC4"/>
    <w:rsid w:val="00482A01"/>
    <w:rsid w:val="00482C88"/>
    <w:rsid w:val="0048419A"/>
    <w:rsid w:val="0048434B"/>
    <w:rsid w:val="00484B26"/>
    <w:rsid w:val="00484BEC"/>
    <w:rsid w:val="00484C75"/>
    <w:rsid w:val="00484C7B"/>
    <w:rsid w:val="00484E60"/>
    <w:rsid w:val="00485291"/>
    <w:rsid w:val="004860D6"/>
    <w:rsid w:val="004869DB"/>
    <w:rsid w:val="00487DF9"/>
    <w:rsid w:val="00490C20"/>
    <w:rsid w:val="004912E3"/>
    <w:rsid w:val="0049131B"/>
    <w:rsid w:val="00491624"/>
    <w:rsid w:val="00491CEB"/>
    <w:rsid w:val="00492FF0"/>
    <w:rsid w:val="00493310"/>
    <w:rsid w:val="0049378F"/>
    <w:rsid w:val="0049395E"/>
    <w:rsid w:val="00494B34"/>
    <w:rsid w:val="0049534A"/>
    <w:rsid w:val="00495BCD"/>
    <w:rsid w:val="0049673E"/>
    <w:rsid w:val="0049732E"/>
    <w:rsid w:val="00497AED"/>
    <w:rsid w:val="00497EE4"/>
    <w:rsid w:val="004A072D"/>
    <w:rsid w:val="004A08BF"/>
    <w:rsid w:val="004A3221"/>
    <w:rsid w:val="004A4E55"/>
    <w:rsid w:val="004A5FD3"/>
    <w:rsid w:val="004A6588"/>
    <w:rsid w:val="004A7C0F"/>
    <w:rsid w:val="004B0FEE"/>
    <w:rsid w:val="004B12BD"/>
    <w:rsid w:val="004B136E"/>
    <w:rsid w:val="004B1B3A"/>
    <w:rsid w:val="004B24F6"/>
    <w:rsid w:val="004B4101"/>
    <w:rsid w:val="004B41A7"/>
    <w:rsid w:val="004B43E2"/>
    <w:rsid w:val="004B50DB"/>
    <w:rsid w:val="004B55E7"/>
    <w:rsid w:val="004B5794"/>
    <w:rsid w:val="004B615C"/>
    <w:rsid w:val="004B68EE"/>
    <w:rsid w:val="004B7EC6"/>
    <w:rsid w:val="004C02E6"/>
    <w:rsid w:val="004C225D"/>
    <w:rsid w:val="004C25F9"/>
    <w:rsid w:val="004C416D"/>
    <w:rsid w:val="004C4FCC"/>
    <w:rsid w:val="004C662C"/>
    <w:rsid w:val="004C6C15"/>
    <w:rsid w:val="004D00DD"/>
    <w:rsid w:val="004D01FB"/>
    <w:rsid w:val="004D0C62"/>
    <w:rsid w:val="004D11B7"/>
    <w:rsid w:val="004D1885"/>
    <w:rsid w:val="004D338B"/>
    <w:rsid w:val="004D38CC"/>
    <w:rsid w:val="004D43C8"/>
    <w:rsid w:val="004D49D0"/>
    <w:rsid w:val="004D532F"/>
    <w:rsid w:val="004D5A6C"/>
    <w:rsid w:val="004D70C5"/>
    <w:rsid w:val="004D7D75"/>
    <w:rsid w:val="004E0AC9"/>
    <w:rsid w:val="004E185A"/>
    <w:rsid w:val="004E194F"/>
    <w:rsid w:val="004E19CC"/>
    <w:rsid w:val="004E1DAC"/>
    <w:rsid w:val="004E1F70"/>
    <w:rsid w:val="004E2475"/>
    <w:rsid w:val="004E2679"/>
    <w:rsid w:val="004E36F1"/>
    <w:rsid w:val="004E418F"/>
    <w:rsid w:val="004E4829"/>
    <w:rsid w:val="004E6842"/>
    <w:rsid w:val="004E7AE6"/>
    <w:rsid w:val="004F033F"/>
    <w:rsid w:val="004F0482"/>
    <w:rsid w:val="004F0698"/>
    <w:rsid w:val="004F0E2C"/>
    <w:rsid w:val="004F0EA3"/>
    <w:rsid w:val="004F17E5"/>
    <w:rsid w:val="004F20D0"/>
    <w:rsid w:val="004F23AB"/>
    <w:rsid w:val="004F3A49"/>
    <w:rsid w:val="004F3A8F"/>
    <w:rsid w:val="004F4756"/>
    <w:rsid w:val="004F4826"/>
    <w:rsid w:val="004F487A"/>
    <w:rsid w:val="004F49B4"/>
    <w:rsid w:val="004F4E5B"/>
    <w:rsid w:val="004F5937"/>
    <w:rsid w:val="004F61AC"/>
    <w:rsid w:val="004F62AA"/>
    <w:rsid w:val="004F63AD"/>
    <w:rsid w:val="004F65CA"/>
    <w:rsid w:val="004F71C3"/>
    <w:rsid w:val="004F7C40"/>
    <w:rsid w:val="004F7EAF"/>
    <w:rsid w:val="0050048D"/>
    <w:rsid w:val="00500541"/>
    <w:rsid w:val="0050087A"/>
    <w:rsid w:val="005012A8"/>
    <w:rsid w:val="0050161A"/>
    <w:rsid w:val="005018C5"/>
    <w:rsid w:val="0050309C"/>
    <w:rsid w:val="00503228"/>
    <w:rsid w:val="00504469"/>
    <w:rsid w:val="00504ED4"/>
    <w:rsid w:val="005051F4"/>
    <w:rsid w:val="0050593D"/>
    <w:rsid w:val="00505F8D"/>
    <w:rsid w:val="00506F99"/>
    <w:rsid w:val="00506FC1"/>
    <w:rsid w:val="005100D7"/>
    <w:rsid w:val="0051095A"/>
    <w:rsid w:val="0051096D"/>
    <w:rsid w:val="0051270E"/>
    <w:rsid w:val="00512BC8"/>
    <w:rsid w:val="00512DD5"/>
    <w:rsid w:val="00513DC2"/>
    <w:rsid w:val="005141A9"/>
    <w:rsid w:val="0051519A"/>
    <w:rsid w:val="00516A0F"/>
    <w:rsid w:val="0051791C"/>
    <w:rsid w:val="005204DA"/>
    <w:rsid w:val="00521F2F"/>
    <w:rsid w:val="00522C96"/>
    <w:rsid w:val="005242E3"/>
    <w:rsid w:val="005243E8"/>
    <w:rsid w:val="005260CB"/>
    <w:rsid w:val="00526792"/>
    <w:rsid w:val="0052695B"/>
    <w:rsid w:val="005276C1"/>
    <w:rsid w:val="0052780B"/>
    <w:rsid w:val="00527B4D"/>
    <w:rsid w:val="00530135"/>
    <w:rsid w:val="00530741"/>
    <w:rsid w:val="005313F5"/>
    <w:rsid w:val="005315FF"/>
    <w:rsid w:val="005336FE"/>
    <w:rsid w:val="005366BB"/>
    <w:rsid w:val="00536723"/>
    <w:rsid w:val="00536E00"/>
    <w:rsid w:val="00537483"/>
    <w:rsid w:val="00540634"/>
    <w:rsid w:val="00541EA8"/>
    <w:rsid w:val="00542307"/>
    <w:rsid w:val="005423C6"/>
    <w:rsid w:val="00543E12"/>
    <w:rsid w:val="00547143"/>
    <w:rsid w:val="00547429"/>
    <w:rsid w:val="005505D4"/>
    <w:rsid w:val="005512D9"/>
    <w:rsid w:val="00551426"/>
    <w:rsid w:val="00552C1B"/>
    <w:rsid w:val="005536FD"/>
    <w:rsid w:val="00553D18"/>
    <w:rsid w:val="005542A4"/>
    <w:rsid w:val="005546BF"/>
    <w:rsid w:val="00554A27"/>
    <w:rsid w:val="00554D7E"/>
    <w:rsid w:val="00555FED"/>
    <w:rsid w:val="00556F4E"/>
    <w:rsid w:val="005613B1"/>
    <w:rsid w:val="00561738"/>
    <w:rsid w:val="00561B16"/>
    <w:rsid w:val="00561CF8"/>
    <w:rsid w:val="005623F4"/>
    <w:rsid w:val="005625AE"/>
    <w:rsid w:val="0056308F"/>
    <w:rsid w:val="00564B4F"/>
    <w:rsid w:val="00564BCA"/>
    <w:rsid w:val="00566770"/>
    <w:rsid w:val="00567752"/>
    <w:rsid w:val="0057021E"/>
    <w:rsid w:val="00570663"/>
    <w:rsid w:val="00571E59"/>
    <w:rsid w:val="0057240F"/>
    <w:rsid w:val="00573446"/>
    <w:rsid w:val="00573C28"/>
    <w:rsid w:val="00575945"/>
    <w:rsid w:val="0057599F"/>
    <w:rsid w:val="00577043"/>
    <w:rsid w:val="00577C58"/>
    <w:rsid w:val="005803F5"/>
    <w:rsid w:val="00580A47"/>
    <w:rsid w:val="005815BF"/>
    <w:rsid w:val="00582D3D"/>
    <w:rsid w:val="00583B11"/>
    <w:rsid w:val="005842B7"/>
    <w:rsid w:val="0058432A"/>
    <w:rsid w:val="00584FCD"/>
    <w:rsid w:val="0058662B"/>
    <w:rsid w:val="005867C7"/>
    <w:rsid w:val="005876FA"/>
    <w:rsid w:val="0059000A"/>
    <w:rsid w:val="00590A25"/>
    <w:rsid w:val="00592F1E"/>
    <w:rsid w:val="00594D30"/>
    <w:rsid w:val="00594EBA"/>
    <w:rsid w:val="00595BB0"/>
    <w:rsid w:val="00595BE4"/>
    <w:rsid w:val="00596F1E"/>
    <w:rsid w:val="005970BE"/>
    <w:rsid w:val="00597740"/>
    <w:rsid w:val="00597972"/>
    <w:rsid w:val="00597B81"/>
    <w:rsid w:val="00597B87"/>
    <w:rsid w:val="00597F85"/>
    <w:rsid w:val="005A03B3"/>
    <w:rsid w:val="005A0B5A"/>
    <w:rsid w:val="005A0FC6"/>
    <w:rsid w:val="005A1F71"/>
    <w:rsid w:val="005A2955"/>
    <w:rsid w:val="005A31EE"/>
    <w:rsid w:val="005A3C47"/>
    <w:rsid w:val="005A4748"/>
    <w:rsid w:val="005A594C"/>
    <w:rsid w:val="005A59C1"/>
    <w:rsid w:val="005A6A71"/>
    <w:rsid w:val="005A7D13"/>
    <w:rsid w:val="005B0435"/>
    <w:rsid w:val="005B1680"/>
    <w:rsid w:val="005B174B"/>
    <w:rsid w:val="005B2044"/>
    <w:rsid w:val="005B2D1C"/>
    <w:rsid w:val="005B3A3D"/>
    <w:rsid w:val="005B3B74"/>
    <w:rsid w:val="005B3BEB"/>
    <w:rsid w:val="005B42BD"/>
    <w:rsid w:val="005B49BF"/>
    <w:rsid w:val="005B521B"/>
    <w:rsid w:val="005B6071"/>
    <w:rsid w:val="005B712D"/>
    <w:rsid w:val="005C07D4"/>
    <w:rsid w:val="005C08B6"/>
    <w:rsid w:val="005C15E2"/>
    <w:rsid w:val="005C1C2A"/>
    <w:rsid w:val="005C2296"/>
    <w:rsid w:val="005C2B2A"/>
    <w:rsid w:val="005C3019"/>
    <w:rsid w:val="005C3045"/>
    <w:rsid w:val="005C3D62"/>
    <w:rsid w:val="005C4644"/>
    <w:rsid w:val="005C5072"/>
    <w:rsid w:val="005C5404"/>
    <w:rsid w:val="005C55F8"/>
    <w:rsid w:val="005C64EC"/>
    <w:rsid w:val="005C6E80"/>
    <w:rsid w:val="005C6EAD"/>
    <w:rsid w:val="005C7262"/>
    <w:rsid w:val="005D0481"/>
    <w:rsid w:val="005D0F44"/>
    <w:rsid w:val="005D3842"/>
    <w:rsid w:val="005D38AD"/>
    <w:rsid w:val="005D3A1B"/>
    <w:rsid w:val="005D45A4"/>
    <w:rsid w:val="005D485A"/>
    <w:rsid w:val="005D5359"/>
    <w:rsid w:val="005D54DB"/>
    <w:rsid w:val="005E06A5"/>
    <w:rsid w:val="005E1A39"/>
    <w:rsid w:val="005E20CA"/>
    <w:rsid w:val="005E2318"/>
    <w:rsid w:val="005E27A8"/>
    <w:rsid w:val="005E2AB0"/>
    <w:rsid w:val="005E2B35"/>
    <w:rsid w:val="005E3448"/>
    <w:rsid w:val="005E4481"/>
    <w:rsid w:val="005E45F5"/>
    <w:rsid w:val="005E4E74"/>
    <w:rsid w:val="005E53D0"/>
    <w:rsid w:val="005E5C12"/>
    <w:rsid w:val="005E5F4D"/>
    <w:rsid w:val="005E66B1"/>
    <w:rsid w:val="005E6ACF"/>
    <w:rsid w:val="005E7D2A"/>
    <w:rsid w:val="005F054C"/>
    <w:rsid w:val="005F0A6A"/>
    <w:rsid w:val="005F260E"/>
    <w:rsid w:val="005F28B8"/>
    <w:rsid w:val="005F2952"/>
    <w:rsid w:val="005F4468"/>
    <w:rsid w:val="005F5721"/>
    <w:rsid w:val="005F5850"/>
    <w:rsid w:val="005F7194"/>
    <w:rsid w:val="005F7C56"/>
    <w:rsid w:val="006008B1"/>
    <w:rsid w:val="00601ABE"/>
    <w:rsid w:val="006029BF"/>
    <w:rsid w:val="00602FC6"/>
    <w:rsid w:val="006030A5"/>
    <w:rsid w:val="006030E5"/>
    <w:rsid w:val="00603152"/>
    <w:rsid w:val="00603C8D"/>
    <w:rsid w:val="00603E07"/>
    <w:rsid w:val="00603F32"/>
    <w:rsid w:val="006054E7"/>
    <w:rsid w:val="00605904"/>
    <w:rsid w:val="00607D3B"/>
    <w:rsid w:val="00607D66"/>
    <w:rsid w:val="006102CE"/>
    <w:rsid w:val="00610D1D"/>
    <w:rsid w:val="00611821"/>
    <w:rsid w:val="00611D9D"/>
    <w:rsid w:val="00611DB3"/>
    <w:rsid w:val="006137B0"/>
    <w:rsid w:val="006138D4"/>
    <w:rsid w:val="00613EB7"/>
    <w:rsid w:val="00613FA5"/>
    <w:rsid w:val="0061421C"/>
    <w:rsid w:val="00614497"/>
    <w:rsid w:val="00614A4C"/>
    <w:rsid w:val="00614AD4"/>
    <w:rsid w:val="00614E5E"/>
    <w:rsid w:val="00615812"/>
    <w:rsid w:val="00615989"/>
    <w:rsid w:val="0061720D"/>
    <w:rsid w:val="00620458"/>
    <w:rsid w:val="0062060C"/>
    <w:rsid w:val="00620CC9"/>
    <w:rsid w:val="00621DE5"/>
    <w:rsid w:val="0062223E"/>
    <w:rsid w:val="00622A3B"/>
    <w:rsid w:val="00623146"/>
    <w:rsid w:val="00623ACE"/>
    <w:rsid w:val="0062436B"/>
    <w:rsid w:val="00624520"/>
    <w:rsid w:val="006255FB"/>
    <w:rsid w:val="00625667"/>
    <w:rsid w:val="0062601C"/>
    <w:rsid w:val="00626082"/>
    <w:rsid w:val="00626555"/>
    <w:rsid w:val="006267D9"/>
    <w:rsid w:val="00626A9D"/>
    <w:rsid w:val="006273CA"/>
    <w:rsid w:val="006275C8"/>
    <w:rsid w:val="006276C9"/>
    <w:rsid w:val="00627791"/>
    <w:rsid w:val="00627C90"/>
    <w:rsid w:val="00630621"/>
    <w:rsid w:val="006311D2"/>
    <w:rsid w:val="006316F3"/>
    <w:rsid w:val="00631C47"/>
    <w:rsid w:val="0063285A"/>
    <w:rsid w:val="006336F0"/>
    <w:rsid w:val="00633A43"/>
    <w:rsid w:val="00634537"/>
    <w:rsid w:val="00634F97"/>
    <w:rsid w:val="0063529C"/>
    <w:rsid w:val="00637230"/>
    <w:rsid w:val="00637A19"/>
    <w:rsid w:val="00640A41"/>
    <w:rsid w:val="00640ADD"/>
    <w:rsid w:val="00640FF9"/>
    <w:rsid w:val="0064300A"/>
    <w:rsid w:val="00643116"/>
    <w:rsid w:val="0064345C"/>
    <w:rsid w:val="00644391"/>
    <w:rsid w:val="00644F13"/>
    <w:rsid w:val="006453C1"/>
    <w:rsid w:val="006455BC"/>
    <w:rsid w:val="00645BDC"/>
    <w:rsid w:val="00645E5B"/>
    <w:rsid w:val="0064642E"/>
    <w:rsid w:val="00646889"/>
    <w:rsid w:val="0064705C"/>
    <w:rsid w:val="0064727C"/>
    <w:rsid w:val="00647604"/>
    <w:rsid w:val="006503CA"/>
    <w:rsid w:val="0065094D"/>
    <w:rsid w:val="00651184"/>
    <w:rsid w:val="006519B2"/>
    <w:rsid w:val="006519F4"/>
    <w:rsid w:val="00652186"/>
    <w:rsid w:val="006527BC"/>
    <w:rsid w:val="00652F7E"/>
    <w:rsid w:val="00653427"/>
    <w:rsid w:val="006536EB"/>
    <w:rsid w:val="00653965"/>
    <w:rsid w:val="00653F20"/>
    <w:rsid w:val="00654D15"/>
    <w:rsid w:val="00655436"/>
    <w:rsid w:val="006554C4"/>
    <w:rsid w:val="006555EB"/>
    <w:rsid w:val="00655BC6"/>
    <w:rsid w:val="00656278"/>
    <w:rsid w:val="00656301"/>
    <w:rsid w:val="0065668C"/>
    <w:rsid w:val="00656762"/>
    <w:rsid w:val="00656870"/>
    <w:rsid w:val="00656E49"/>
    <w:rsid w:val="00656F2F"/>
    <w:rsid w:val="00661709"/>
    <w:rsid w:val="006622B5"/>
    <w:rsid w:val="006622E8"/>
    <w:rsid w:val="00663343"/>
    <w:rsid w:val="00663D72"/>
    <w:rsid w:val="00664080"/>
    <w:rsid w:val="00664111"/>
    <w:rsid w:val="0066535E"/>
    <w:rsid w:val="00665ACE"/>
    <w:rsid w:val="006673A2"/>
    <w:rsid w:val="006674E4"/>
    <w:rsid w:val="006702A0"/>
    <w:rsid w:val="006704DB"/>
    <w:rsid w:val="00670D9D"/>
    <w:rsid w:val="00671784"/>
    <w:rsid w:val="006720C4"/>
    <w:rsid w:val="006729B2"/>
    <w:rsid w:val="00673789"/>
    <w:rsid w:val="00674C68"/>
    <w:rsid w:val="0067688B"/>
    <w:rsid w:val="00676CE6"/>
    <w:rsid w:val="006805F3"/>
    <w:rsid w:val="006814E4"/>
    <w:rsid w:val="00681A9F"/>
    <w:rsid w:val="00682641"/>
    <w:rsid w:val="006826A6"/>
    <w:rsid w:val="00682798"/>
    <w:rsid w:val="0068623F"/>
    <w:rsid w:val="00686396"/>
    <w:rsid w:val="00687615"/>
    <w:rsid w:val="006879B2"/>
    <w:rsid w:val="00687DAA"/>
    <w:rsid w:val="00690485"/>
    <w:rsid w:val="00690E5E"/>
    <w:rsid w:val="006915BF"/>
    <w:rsid w:val="0069339D"/>
    <w:rsid w:val="006952EC"/>
    <w:rsid w:val="00695866"/>
    <w:rsid w:val="00695D62"/>
    <w:rsid w:val="0069677F"/>
    <w:rsid w:val="00696EC6"/>
    <w:rsid w:val="00696ECA"/>
    <w:rsid w:val="00697A16"/>
    <w:rsid w:val="006A1116"/>
    <w:rsid w:val="006A1862"/>
    <w:rsid w:val="006A3AB5"/>
    <w:rsid w:val="006A490F"/>
    <w:rsid w:val="006A4ABC"/>
    <w:rsid w:val="006A4FF9"/>
    <w:rsid w:val="006A55F7"/>
    <w:rsid w:val="006A57B9"/>
    <w:rsid w:val="006A6AF0"/>
    <w:rsid w:val="006A6B75"/>
    <w:rsid w:val="006A6F78"/>
    <w:rsid w:val="006A7433"/>
    <w:rsid w:val="006A7F10"/>
    <w:rsid w:val="006B0DBD"/>
    <w:rsid w:val="006B1066"/>
    <w:rsid w:val="006B2015"/>
    <w:rsid w:val="006B23F2"/>
    <w:rsid w:val="006B2C46"/>
    <w:rsid w:val="006B2F4E"/>
    <w:rsid w:val="006B3ACA"/>
    <w:rsid w:val="006B47A0"/>
    <w:rsid w:val="006B57D8"/>
    <w:rsid w:val="006B68D1"/>
    <w:rsid w:val="006B691F"/>
    <w:rsid w:val="006B7F3A"/>
    <w:rsid w:val="006C090C"/>
    <w:rsid w:val="006C2BA6"/>
    <w:rsid w:val="006C30FE"/>
    <w:rsid w:val="006C354E"/>
    <w:rsid w:val="006C4325"/>
    <w:rsid w:val="006C4465"/>
    <w:rsid w:val="006C50D6"/>
    <w:rsid w:val="006C524E"/>
    <w:rsid w:val="006C59D3"/>
    <w:rsid w:val="006C5E29"/>
    <w:rsid w:val="006C7E37"/>
    <w:rsid w:val="006C7F08"/>
    <w:rsid w:val="006D01E5"/>
    <w:rsid w:val="006D054D"/>
    <w:rsid w:val="006D0789"/>
    <w:rsid w:val="006D1234"/>
    <w:rsid w:val="006D19D8"/>
    <w:rsid w:val="006D2DC6"/>
    <w:rsid w:val="006D35CA"/>
    <w:rsid w:val="006D3ADA"/>
    <w:rsid w:val="006D3CA1"/>
    <w:rsid w:val="006D3E99"/>
    <w:rsid w:val="006D42AE"/>
    <w:rsid w:val="006D4E52"/>
    <w:rsid w:val="006D5201"/>
    <w:rsid w:val="006D597E"/>
    <w:rsid w:val="006D6517"/>
    <w:rsid w:val="006D7544"/>
    <w:rsid w:val="006D771A"/>
    <w:rsid w:val="006D7BAF"/>
    <w:rsid w:val="006E010E"/>
    <w:rsid w:val="006E121D"/>
    <w:rsid w:val="006E1E6F"/>
    <w:rsid w:val="006E1F0B"/>
    <w:rsid w:val="006E2B8F"/>
    <w:rsid w:val="006E30AF"/>
    <w:rsid w:val="006E3255"/>
    <w:rsid w:val="006E3A04"/>
    <w:rsid w:val="006E4ED7"/>
    <w:rsid w:val="006E58F0"/>
    <w:rsid w:val="006E6011"/>
    <w:rsid w:val="006E73AE"/>
    <w:rsid w:val="006F0B81"/>
    <w:rsid w:val="006F12E4"/>
    <w:rsid w:val="006F39B2"/>
    <w:rsid w:val="006F3E1E"/>
    <w:rsid w:val="006F40CF"/>
    <w:rsid w:val="006F44DB"/>
    <w:rsid w:val="006F54B1"/>
    <w:rsid w:val="006F7AAB"/>
    <w:rsid w:val="007004EC"/>
    <w:rsid w:val="00700DC5"/>
    <w:rsid w:val="00702E93"/>
    <w:rsid w:val="00703856"/>
    <w:rsid w:val="00705F2C"/>
    <w:rsid w:val="007060C1"/>
    <w:rsid w:val="00706B34"/>
    <w:rsid w:val="00707887"/>
    <w:rsid w:val="0071036F"/>
    <w:rsid w:val="0071179A"/>
    <w:rsid w:val="007129FF"/>
    <w:rsid w:val="007135A0"/>
    <w:rsid w:val="00713E97"/>
    <w:rsid w:val="00714C50"/>
    <w:rsid w:val="00714E2A"/>
    <w:rsid w:val="00715808"/>
    <w:rsid w:val="007167AD"/>
    <w:rsid w:val="00716FCD"/>
    <w:rsid w:val="00717869"/>
    <w:rsid w:val="00720D03"/>
    <w:rsid w:val="00721612"/>
    <w:rsid w:val="00721F90"/>
    <w:rsid w:val="0072209A"/>
    <w:rsid w:val="007228EB"/>
    <w:rsid w:val="007237A1"/>
    <w:rsid w:val="007244AE"/>
    <w:rsid w:val="007248E7"/>
    <w:rsid w:val="007273EB"/>
    <w:rsid w:val="007275C7"/>
    <w:rsid w:val="00727AD9"/>
    <w:rsid w:val="00727E85"/>
    <w:rsid w:val="00730299"/>
    <w:rsid w:val="0073064E"/>
    <w:rsid w:val="007306C3"/>
    <w:rsid w:val="00730BF8"/>
    <w:rsid w:val="00730CC5"/>
    <w:rsid w:val="0073177D"/>
    <w:rsid w:val="007324DE"/>
    <w:rsid w:val="00732EE6"/>
    <w:rsid w:val="00733B34"/>
    <w:rsid w:val="00733D24"/>
    <w:rsid w:val="007341F3"/>
    <w:rsid w:val="00735B57"/>
    <w:rsid w:val="00736583"/>
    <w:rsid w:val="00736C73"/>
    <w:rsid w:val="00737881"/>
    <w:rsid w:val="00737B3B"/>
    <w:rsid w:val="00737BE9"/>
    <w:rsid w:val="00737C9E"/>
    <w:rsid w:val="00741BF0"/>
    <w:rsid w:val="007421C3"/>
    <w:rsid w:val="00743A72"/>
    <w:rsid w:val="007447E2"/>
    <w:rsid w:val="007450E3"/>
    <w:rsid w:val="007453DB"/>
    <w:rsid w:val="00747100"/>
    <w:rsid w:val="00747731"/>
    <w:rsid w:val="00747A47"/>
    <w:rsid w:val="0075009F"/>
    <w:rsid w:val="00751395"/>
    <w:rsid w:val="007525C9"/>
    <w:rsid w:val="00752FD4"/>
    <w:rsid w:val="0075357C"/>
    <w:rsid w:val="00754E45"/>
    <w:rsid w:val="00754F5E"/>
    <w:rsid w:val="007570A3"/>
    <w:rsid w:val="007570C5"/>
    <w:rsid w:val="0075729D"/>
    <w:rsid w:val="00757839"/>
    <w:rsid w:val="00757BF8"/>
    <w:rsid w:val="00757D58"/>
    <w:rsid w:val="00760607"/>
    <w:rsid w:val="007608F5"/>
    <w:rsid w:val="00760F2B"/>
    <w:rsid w:val="00760F9C"/>
    <w:rsid w:val="00761412"/>
    <w:rsid w:val="00761F57"/>
    <w:rsid w:val="007629D0"/>
    <w:rsid w:val="00764E16"/>
    <w:rsid w:val="007651AF"/>
    <w:rsid w:val="007656D6"/>
    <w:rsid w:val="00765C8F"/>
    <w:rsid w:val="00766552"/>
    <w:rsid w:val="00771288"/>
    <w:rsid w:val="00772139"/>
    <w:rsid w:val="00772198"/>
    <w:rsid w:val="007736D7"/>
    <w:rsid w:val="00773BC4"/>
    <w:rsid w:val="00773CA3"/>
    <w:rsid w:val="00774A7C"/>
    <w:rsid w:val="00775D26"/>
    <w:rsid w:val="00776691"/>
    <w:rsid w:val="007771C9"/>
    <w:rsid w:val="0077742A"/>
    <w:rsid w:val="00777523"/>
    <w:rsid w:val="00777616"/>
    <w:rsid w:val="0077788F"/>
    <w:rsid w:val="007802E9"/>
    <w:rsid w:val="00780623"/>
    <w:rsid w:val="0078062F"/>
    <w:rsid w:val="00780A4E"/>
    <w:rsid w:val="00781482"/>
    <w:rsid w:val="00781530"/>
    <w:rsid w:val="007815FF"/>
    <w:rsid w:val="007860B5"/>
    <w:rsid w:val="00787187"/>
    <w:rsid w:val="00791234"/>
    <w:rsid w:val="0079198D"/>
    <w:rsid w:val="00791E24"/>
    <w:rsid w:val="00795524"/>
    <w:rsid w:val="00795D8F"/>
    <w:rsid w:val="00796208"/>
    <w:rsid w:val="00796C2C"/>
    <w:rsid w:val="007979C6"/>
    <w:rsid w:val="007A04B7"/>
    <w:rsid w:val="007A0BB9"/>
    <w:rsid w:val="007A54C5"/>
    <w:rsid w:val="007A638F"/>
    <w:rsid w:val="007A643C"/>
    <w:rsid w:val="007A73D0"/>
    <w:rsid w:val="007A742E"/>
    <w:rsid w:val="007B03E4"/>
    <w:rsid w:val="007B06BE"/>
    <w:rsid w:val="007B0AF4"/>
    <w:rsid w:val="007B1064"/>
    <w:rsid w:val="007B1447"/>
    <w:rsid w:val="007B1CBF"/>
    <w:rsid w:val="007B2452"/>
    <w:rsid w:val="007B2E29"/>
    <w:rsid w:val="007B2E74"/>
    <w:rsid w:val="007B3C2C"/>
    <w:rsid w:val="007B3CB7"/>
    <w:rsid w:val="007B4223"/>
    <w:rsid w:val="007B4240"/>
    <w:rsid w:val="007B431B"/>
    <w:rsid w:val="007B431F"/>
    <w:rsid w:val="007B443F"/>
    <w:rsid w:val="007B5063"/>
    <w:rsid w:val="007B620A"/>
    <w:rsid w:val="007B737D"/>
    <w:rsid w:val="007B7549"/>
    <w:rsid w:val="007B761B"/>
    <w:rsid w:val="007B7745"/>
    <w:rsid w:val="007B7E30"/>
    <w:rsid w:val="007C04E4"/>
    <w:rsid w:val="007C067F"/>
    <w:rsid w:val="007C1360"/>
    <w:rsid w:val="007C1CD8"/>
    <w:rsid w:val="007C2958"/>
    <w:rsid w:val="007C36AE"/>
    <w:rsid w:val="007C379C"/>
    <w:rsid w:val="007C3BAC"/>
    <w:rsid w:val="007C3E6C"/>
    <w:rsid w:val="007C44AE"/>
    <w:rsid w:val="007C60C8"/>
    <w:rsid w:val="007C625F"/>
    <w:rsid w:val="007C68C9"/>
    <w:rsid w:val="007C6A31"/>
    <w:rsid w:val="007C7700"/>
    <w:rsid w:val="007C78E5"/>
    <w:rsid w:val="007D0E35"/>
    <w:rsid w:val="007D2B9D"/>
    <w:rsid w:val="007D343D"/>
    <w:rsid w:val="007D3AAB"/>
    <w:rsid w:val="007D4603"/>
    <w:rsid w:val="007D4885"/>
    <w:rsid w:val="007D4EC0"/>
    <w:rsid w:val="007D4EC3"/>
    <w:rsid w:val="007D4FD7"/>
    <w:rsid w:val="007D69A7"/>
    <w:rsid w:val="007D6E6E"/>
    <w:rsid w:val="007D7A17"/>
    <w:rsid w:val="007E00AC"/>
    <w:rsid w:val="007E0909"/>
    <w:rsid w:val="007E158D"/>
    <w:rsid w:val="007E1B7E"/>
    <w:rsid w:val="007E1F13"/>
    <w:rsid w:val="007E28E0"/>
    <w:rsid w:val="007E2959"/>
    <w:rsid w:val="007E2A49"/>
    <w:rsid w:val="007E324F"/>
    <w:rsid w:val="007E3D30"/>
    <w:rsid w:val="007E538E"/>
    <w:rsid w:val="007E5D6D"/>
    <w:rsid w:val="007E660C"/>
    <w:rsid w:val="007E675B"/>
    <w:rsid w:val="007E6A0A"/>
    <w:rsid w:val="007E7DE5"/>
    <w:rsid w:val="007F199C"/>
    <w:rsid w:val="007F2302"/>
    <w:rsid w:val="007F288B"/>
    <w:rsid w:val="007F2933"/>
    <w:rsid w:val="007F31B9"/>
    <w:rsid w:val="007F4655"/>
    <w:rsid w:val="007F4CC5"/>
    <w:rsid w:val="007F5AED"/>
    <w:rsid w:val="007F63E6"/>
    <w:rsid w:val="00800A40"/>
    <w:rsid w:val="00800C9A"/>
    <w:rsid w:val="00800F32"/>
    <w:rsid w:val="00802260"/>
    <w:rsid w:val="0080325C"/>
    <w:rsid w:val="0080396F"/>
    <w:rsid w:val="00803C64"/>
    <w:rsid w:val="00804765"/>
    <w:rsid w:val="00804876"/>
    <w:rsid w:val="0080590B"/>
    <w:rsid w:val="00810553"/>
    <w:rsid w:val="00810F96"/>
    <w:rsid w:val="008112C2"/>
    <w:rsid w:val="00813803"/>
    <w:rsid w:val="0081415E"/>
    <w:rsid w:val="00814CC6"/>
    <w:rsid w:val="00814FCF"/>
    <w:rsid w:val="008154C1"/>
    <w:rsid w:val="00815B62"/>
    <w:rsid w:val="00816033"/>
    <w:rsid w:val="00816AC8"/>
    <w:rsid w:val="008172B0"/>
    <w:rsid w:val="00817975"/>
    <w:rsid w:val="008221DB"/>
    <w:rsid w:val="00822E95"/>
    <w:rsid w:val="008234C4"/>
    <w:rsid w:val="00823612"/>
    <w:rsid w:val="00823C1A"/>
    <w:rsid w:val="00823C2B"/>
    <w:rsid w:val="008267DB"/>
    <w:rsid w:val="00826A0C"/>
    <w:rsid w:val="00827910"/>
    <w:rsid w:val="008306A2"/>
    <w:rsid w:val="00830DF4"/>
    <w:rsid w:val="00831973"/>
    <w:rsid w:val="00832B75"/>
    <w:rsid w:val="00832B78"/>
    <w:rsid w:val="00834880"/>
    <w:rsid w:val="00834ED3"/>
    <w:rsid w:val="0083508A"/>
    <w:rsid w:val="00835CE3"/>
    <w:rsid w:val="00835D2B"/>
    <w:rsid w:val="00835E3D"/>
    <w:rsid w:val="008360C2"/>
    <w:rsid w:val="00836353"/>
    <w:rsid w:val="00836C5F"/>
    <w:rsid w:val="008379D5"/>
    <w:rsid w:val="00837F60"/>
    <w:rsid w:val="00841AAE"/>
    <w:rsid w:val="00841B38"/>
    <w:rsid w:val="0084266D"/>
    <w:rsid w:val="0084287C"/>
    <w:rsid w:val="008438C5"/>
    <w:rsid w:val="008438CC"/>
    <w:rsid w:val="00843B2E"/>
    <w:rsid w:val="00845E06"/>
    <w:rsid w:val="008500D9"/>
    <w:rsid w:val="00850974"/>
    <w:rsid w:val="0085155D"/>
    <w:rsid w:val="00852400"/>
    <w:rsid w:val="00852729"/>
    <w:rsid w:val="008532C1"/>
    <w:rsid w:val="0085378C"/>
    <w:rsid w:val="0085452C"/>
    <w:rsid w:val="00855631"/>
    <w:rsid w:val="00855C4B"/>
    <w:rsid w:val="00856D25"/>
    <w:rsid w:val="00857923"/>
    <w:rsid w:val="00857B7B"/>
    <w:rsid w:val="00857C78"/>
    <w:rsid w:val="008609BE"/>
    <w:rsid w:val="00860B35"/>
    <w:rsid w:val="00861452"/>
    <w:rsid w:val="0086148E"/>
    <w:rsid w:val="00861D11"/>
    <w:rsid w:val="008621F0"/>
    <w:rsid w:val="00862B64"/>
    <w:rsid w:val="00863870"/>
    <w:rsid w:val="00863DCA"/>
    <w:rsid w:val="00863FA4"/>
    <w:rsid w:val="00864A90"/>
    <w:rsid w:val="00865467"/>
    <w:rsid w:val="008658CE"/>
    <w:rsid w:val="008658F1"/>
    <w:rsid w:val="00865B9E"/>
    <w:rsid w:val="00866297"/>
    <w:rsid w:val="008667A7"/>
    <w:rsid w:val="00867272"/>
    <w:rsid w:val="0086768A"/>
    <w:rsid w:val="008705B7"/>
    <w:rsid w:val="00873A71"/>
    <w:rsid w:val="0087498D"/>
    <w:rsid w:val="00874E01"/>
    <w:rsid w:val="008761ED"/>
    <w:rsid w:val="0087660C"/>
    <w:rsid w:val="008768F5"/>
    <w:rsid w:val="00876F7A"/>
    <w:rsid w:val="0087745B"/>
    <w:rsid w:val="00877F6E"/>
    <w:rsid w:val="00880449"/>
    <w:rsid w:val="0088076F"/>
    <w:rsid w:val="0088111D"/>
    <w:rsid w:val="008818CB"/>
    <w:rsid w:val="00881A78"/>
    <w:rsid w:val="00882141"/>
    <w:rsid w:val="008828A2"/>
    <w:rsid w:val="008828DB"/>
    <w:rsid w:val="00882F3A"/>
    <w:rsid w:val="0088442E"/>
    <w:rsid w:val="008852BA"/>
    <w:rsid w:val="0088741A"/>
    <w:rsid w:val="00887695"/>
    <w:rsid w:val="00887EE5"/>
    <w:rsid w:val="0089044C"/>
    <w:rsid w:val="008907DE"/>
    <w:rsid w:val="00891CF3"/>
    <w:rsid w:val="00891D3E"/>
    <w:rsid w:val="00892221"/>
    <w:rsid w:val="00892861"/>
    <w:rsid w:val="0089293A"/>
    <w:rsid w:val="00892C2F"/>
    <w:rsid w:val="00892F15"/>
    <w:rsid w:val="00893652"/>
    <w:rsid w:val="008936FA"/>
    <w:rsid w:val="0089435C"/>
    <w:rsid w:val="00894665"/>
    <w:rsid w:val="0089473A"/>
    <w:rsid w:val="008947AF"/>
    <w:rsid w:val="00894B70"/>
    <w:rsid w:val="00894DF9"/>
    <w:rsid w:val="0089517A"/>
    <w:rsid w:val="00895EFC"/>
    <w:rsid w:val="008965F5"/>
    <w:rsid w:val="0089776C"/>
    <w:rsid w:val="00897A34"/>
    <w:rsid w:val="008A076B"/>
    <w:rsid w:val="008A07EC"/>
    <w:rsid w:val="008A151D"/>
    <w:rsid w:val="008A202E"/>
    <w:rsid w:val="008A21C1"/>
    <w:rsid w:val="008A324B"/>
    <w:rsid w:val="008A32A3"/>
    <w:rsid w:val="008A3535"/>
    <w:rsid w:val="008A3658"/>
    <w:rsid w:val="008A37BD"/>
    <w:rsid w:val="008A38B6"/>
    <w:rsid w:val="008A45DF"/>
    <w:rsid w:val="008A4728"/>
    <w:rsid w:val="008A4F9B"/>
    <w:rsid w:val="008A4FC3"/>
    <w:rsid w:val="008A6592"/>
    <w:rsid w:val="008A6BCF"/>
    <w:rsid w:val="008A75CF"/>
    <w:rsid w:val="008B014F"/>
    <w:rsid w:val="008B14B8"/>
    <w:rsid w:val="008B20A5"/>
    <w:rsid w:val="008B20B8"/>
    <w:rsid w:val="008B77D2"/>
    <w:rsid w:val="008B7F44"/>
    <w:rsid w:val="008C12AB"/>
    <w:rsid w:val="008C12BB"/>
    <w:rsid w:val="008C1733"/>
    <w:rsid w:val="008C3799"/>
    <w:rsid w:val="008C3EE5"/>
    <w:rsid w:val="008C4D64"/>
    <w:rsid w:val="008C5187"/>
    <w:rsid w:val="008C5A4A"/>
    <w:rsid w:val="008C6190"/>
    <w:rsid w:val="008C61CA"/>
    <w:rsid w:val="008D05BE"/>
    <w:rsid w:val="008D127E"/>
    <w:rsid w:val="008D171F"/>
    <w:rsid w:val="008D1D78"/>
    <w:rsid w:val="008D23F6"/>
    <w:rsid w:val="008D30FB"/>
    <w:rsid w:val="008D5576"/>
    <w:rsid w:val="008D77F0"/>
    <w:rsid w:val="008D786E"/>
    <w:rsid w:val="008D7CF8"/>
    <w:rsid w:val="008E0429"/>
    <w:rsid w:val="008E1405"/>
    <w:rsid w:val="008E2862"/>
    <w:rsid w:val="008E2C4D"/>
    <w:rsid w:val="008E3CA7"/>
    <w:rsid w:val="008E3CE5"/>
    <w:rsid w:val="008E41A3"/>
    <w:rsid w:val="008E542E"/>
    <w:rsid w:val="008E568F"/>
    <w:rsid w:val="008E7117"/>
    <w:rsid w:val="008E716E"/>
    <w:rsid w:val="008E7769"/>
    <w:rsid w:val="008E7FA0"/>
    <w:rsid w:val="008F004F"/>
    <w:rsid w:val="008F00E1"/>
    <w:rsid w:val="008F186E"/>
    <w:rsid w:val="008F19CF"/>
    <w:rsid w:val="008F2C64"/>
    <w:rsid w:val="008F2EAD"/>
    <w:rsid w:val="008F32AF"/>
    <w:rsid w:val="008F447C"/>
    <w:rsid w:val="008F56F1"/>
    <w:rsid w:val="008F5943"/>
    <w:rsid w:val="008F6210"/>
    <w:rsid w:val="008F650A"/>
    <w:rsid w:val="008F6DB5"/>
    <w:rsid w:val="008F6FDB"/>
    <w:rsid w:val="008F7343"/>
    <w:rsid w:val="009000A6"/>
    <w:rsid w:val="0090054E"/>
    <w:rsid w:val="00900C77"/>
    <w:rsid w:val="0090115D"/>
    <w:rsid w:val="00901A2C"/>
    <w:rsid w:val="009021C0"/>
    <w:rsid w:val="009033FB"/>
    <w:rsid w:val="0090388B"/>
    <w:rsid w:val="009043CA"/>
    <w:rsid w:val="0090466C"/>
    <w:rsid w:val="00905505"/>
    <w:rsid w:val="0090554E"/>
    <w:rsid w:val="00906C22"/>
    <w:rsid w:val="00906F98"/>
    <w:rsid w:val="0090727C"/>
    <w:rsid w:val="00911618"/>
    <w:rsid w:val="00911938"/>
    <w:rsid w:val="00912CD9"/>
    <w:rsid w:val="00913EF9"/>
    <w:rsid w:val="0091490D"/>
    <w:rsid w:val="00916A51"/>
    <w:rsid w:val="00916C1B"/>
    <w:rsid w:val="0092037B"/>
    <w:rsid w:val="0092055A"/>
    <w:rsid w:val="00921093"/>
    <w:rsid w:val="00922D4F"/>
    <w:rsid w:val="0092403A"/>
    <w:rsid w:val="009244F4"/>
    <w:rsid w:val="00924516"/>
    <w:rsid w:val="00925284"/>
    <w:rsid w:val="00925387"/>
    <w:rsid w:val="0092593F"/>
    <w:rsid w:val="00926ACB"/>
    <w:rsid w:val="009270A9"/>
    <w:rsid w:val="00930842"/>
    <w:rsid w:val="00931AEC"/>
    <w:rsid w:val="00933C38"/>
    <w:rsid w:val="00934682"/>
    <w:rsid w:val="00934B0D"/>
    <w:rsid w:val="009361A2"/>
    <w:rsid w:val="00936BBC"/>
    <w:rsid w:val="009379D9"/>
    <w:rsid w:val="00940446"/>
    <w:rsid w:val="00940541"/>
    <w:rsid w:val="00941189"/>
    <w:rsid w:val="00941B97"/>
    <w:rsid w:val="009424F3"/>
    <w:rsid w:val="00942D04"/>
    <w:rsid w:val="00943170"/>
    <w:rsid w:val="009431CA"/>
    <w:rsid w:val="00943FD9"/>
    <w:rsid w:val="00944133"/>
    <w:rsid w:val="00946F65"/>
    <w:rsid w:val="009470A0"/>
    <w:rsid w:val="009479F4"/>
    <w:rsid w:val="00950C04"/>
    <w:rsid w:val="00950EB9"/>
    <w:rsid w:val="00951042"/>
    <w:rsid w:val="00952850"/>
    <w:rsid w:val="009542DB"/>
    <w:rsid w:val="009547C9"/>
    <w:rsid w:val="00954F72"/>
    <w:rsid w:val="0095549F"/>
    <w:rsid w:val="00955B83"/>
    <w:rsid w:val="0095609A"/>
    <w:rsid w:val="0095610B"/>
    <w:rsid w:val="00957C19"/>
    <w:rsid w:val="009602E3"/>
    <w:rsid w:val="00960B9A"/>
    <w:rsid w:val="00960F38"/>
    <w:rsid w:val="009615EB"/>
    <w:rsid w:val="00961A0D"/>
    <w:rsid w:val="00962130"/>
    <w:rsid w:val="0096297C"/>
    <w:rsid w:val="009631A6"/>
    <w:rsid w:val="00963572"/>
    <w:rsid w:val="00964DDF"/>
    <w:rsid w:val="00966933"/>
    <w:rsid w:val="00967FE9"/>
    <w:rsid w:val="00970343"/>
    <w:rsid w:val="009703BD"/>
    <w:rsid w:val="00970F2C"/>
    <w:rsid w:val="00971BF8"/>
    <w:rsid w:val="00971FCE"/>
    <w:rsid w:val="009725EF"/>
    <w:rsid w:val="00972878"/>
    <w:rsid w:val="00972CA5"/>
    <w:rsid w:val="00973AB1"/>
    <w:rsid w:val="00973BBE"/>
    <w:rsid w:val="00976C76"/>
    <w:rsid w:val="009805D8"/>
    <w:rsid w:val="0098260A"/>
    <w:rsid w:val="00982E8E"/>
    <w:rsid w:val="009841D5"/>
    <w:rsid w:val="00984673"/>
    <w:rsid w:val="0098647B"/>
    <w:rsid w:val="009865EB"/>
    <w:rsid w:val="00986E7A"/>
    <w:rsid w:val="0099071D"/>
    <w:rsid w:val="00991037"/>
    <w:rsid w:val="00991BC8"/>
    <w:rsid w:val="0099250E"/>
    <w:rsid w:val="00993E36"/>
    <w:rsid w:val="0099481F"/>
    <w:rsid w:val="00996598"/>
    <w:rsid w:val="009A0163"/>
    <w:rsid w:val="009A07CB"/>
    <w:rsid w:val="009A095A"/>
    <w:rsid w:val="009A0CBC"/>
    <w:rsid w:val="009A132A"/>
    <w:rsid w:val="009A234A"/>
    <w:rsid w:val="009A396A"/>
    <w:rsid w:val="009A3C59"/>
    <w:rsid w:val="009A3FBC"/>
    <w:rsid w:val="009A405F"/>
    <w:rsid w:val="009A45B9"/>
    <w:rsid w:val="009A4FE8"/>
    <w:rsid w:val="009A54A2"/>
    <w:rsid w:val="009A5AE2"/>
    <w:rsid w:val="009A6CB6"/>
    <w:rsid w:val="009A6DC0"/>
    <w:rsid w:val="009B022C"/>
    <w:rsid w:val="009B1E11"/>
    <w:rsid w:val="009B2D61"/>
    <w:rsid w:val="009B3356"/>
    <w:rsid w:val="009B4190"/>
    <w:rsid w:val="009B4FBA"/>
    <w:rsid w:val="009B656E"/>
    <w:rsid w:val="009B6F9F"/>
    <w:rsid w:val="009B77D9"/>
    <w:rsid w:val="009C1317"/>
    <w:rsid w:val="009C1C95"/>
    <w:rsid w:val="009C2A24"/>
    <w:rsid w:val="009C2C79"/>
    <w:rsid w:val="009C303A"/>
    <w:rsid w:val="009C39F8"/>
    <w:rsid w:val="009C5743"/>
    <w:rsid w:val="009C58F7"/>
    <w:rsid w:val="009C6C53"/>
    <w:rsid w:val="009C7459"/>
    <w:rsid w:val="009C781F"/>
    <w:rsid w:val="009D034A"/>
    <w:rsid w:val="009D0EA3"/>
    <w:rsid w:val="009D2CF8"/>
    <w:rsid w:val="009D53AF"/>
    <w:rsid w:val="009D5DCE"/>
    <w:rsid w:val="009D75F6"/>
    <w:rsid w:val="009E1506"/>
    <w:rsid w:val="009E19AF"/>
    <w:rsid w:val="009E2C70"/>
    <w:rsid w:val="009E344C"/>
    <w:rsid w:val="009E3A54"/>
    <w:rsid w:val="009E442C"/>
    <w:rsid w:val="009E535B"/>
    <w:rsid w:val="009E59FC"/>
    <w:rsid w:val="009E67D3"/>
    <w:rsid w:val="009E6B11"/>
    <w:rsid w:val="009E6D1F"/>
    <w:rsid w:val="009E7104"/>
    <w:rsid w:val="009E7471"/>
    <w:rsid w:val="009F0789"/>
    <w:rsid w:val="009F09AA"/>
    <w:rsid w:val="009F1170"/>
    <w:rsid w:val="009F2D4C"/>
    <w:rsid w:val="009F3D6A"/>
    <w:rsid w:val="009F3E6C"/>
    <w:rsid w:val="009F3F5F"/>
    <w:rsid w:val="009F493D"/>
    <w:rsid w:val="009F4CE8"/>
    <w:rsid w:val="009F50E0"/>
    <w:rsid w:val="009F6028"/>
    <w:rsid w:val="009F7134"/>
    <w:rsid w:val="009F7B98"/>
    <w:rsid w:val="009F7E46"/>
    <w:rsid w:val="00A002E1"/>
    <w:rsid w:val="00A0078A"/>
    <w:rsid w:val="00A00DFC"/>
    <w:rsid w:val="00A010DF"/>
    <w:rsid w:val="00A01F48"/>
    <w:rsid w:val="00A020CA"/>
    <w:rsid w:val="00A027F9"/>
    <w:rsid w:val="00A035ED"/>
    <w:rsid w:val="00A03E91"/>
    <w:rsid w:val="00A0413E"/>
    <w:rsid w:val="00A04EAF"/>
    <w:rsid w:val="00A05079"/>
    <w:rsid w:val="00A05682"/>
    <w:rsid w:val="00A059CA"/>
    <w:rsid w:val="00A06EE7"/>
    <w:rsid w:val="00A0723C"/>
    <w:rsid w:val="00A1032E"/>
    <w:rsid w:val="00A11FEB"/>
    <w:rsid w:val="00A12F42"/>
    <w:rsid w:val="00A13071"/>
    <w:rsid w:val="00A1334A"/>
    <w:rsid w:val="00A13FF1"/>
    <w:rsid w:val="00A142E9"/>
    <w:rsid w:val="00A149A2"/>
    <w:rsid w:val="00A15754"/>
    <w:rsid w:val="00A15942"/>
    <w:rsid w:val="00A159CE"/>
    <w:rsid w:val="00A159FF"/>
    <w:rsid w:val="00A15A7E"/>
    <w:rsid w:val="00A162AF"/>
    <w:rsid w:val="00A16B98"/>
    <w:rsid w:val="00A173A6"/>
    <w:rsid w:val="00A1796F"/>
    <w:rsid w:val="00A17B96"/>
    <w:rsid w:val="00A20E29"/>
    <w:rsid w:val="00A23857"/>
    <w:rsid w:val="00A238B5"/>
    <w:rsid w:val="00A24FFD"/>
    <w:rsid w:val="00A2536A"/>
    <w:rsid w:val="00A25388"/>
    <w:rsid w:val="00A25C51"/>
    <w:rsid w:val="00A25F57"/>
    <w:rsid w:val="00A26163"/>
    <w:rsid w:val="00A26915"/>
    <w:rsid w:val="00A279D5"/>
    <w:rsid w:val="00A301E4"/>
    <w:rsid w:val="00A305E3"/>
    <w:rsid w:val="00A30C3C"/>
    <w:rsid w:val="00A317C9"/>
    <w:rsid w:val="00A32928"/>
    <w:rsid w:val="00A3311E"/>
    <w:rsid w:val="00A33D74"/>
    <w:rsid w:val="00A34C6C"/>
    <w:rsid w:val="00A35013"/>
    <w:rsid w:val="00A3523A"/>
    <w:rsid w:val="00A35740"/>
    <w:rsid w:val="00A35FCB"/>
    <w:rsid w:val="00A368CB"/>
    <w:rsid w:val="00A36C42"/>
    <w:rsid w:val="00A36CD0"/>
    <w:rsid w:val="00A377BC"/>
    <w:rsid w:val="00A37D41"/>
    <w:rsid w:val="00A40992"/>
    <w:rsid w:val="00A41B9D"/>
    <w:rsid w:val="00A41E28"/>
    <w:rsid w:val="00A42B79"/>
    <w:rsid w:val="00A43743"/>
    <w:rsid w:val="00A44E49"/>
    <w:rsid w:val="00A45431"/>
    <w:rsid w:val="00A4568B"/>
    <w:rsid w:val="00A45C7D"/>
    <w:rsid w:val="00A45FBC"/>
    <w:rsid w:val="00A4798E"/>
    <w:rsid w:val="00A47B03"/>
    <w:rsid w:val="00A50525"/>
    <w:rsid w:val="00A50997"/>
    <w:rsid w:val="00A50C03"/>
    <w:rsid w:val="00A51675"/>
    <w:rsid w:val="00A51D0C"/>
    <w:rsid w:val="00A52D47"/>
    <w:rsid w:val="00A53355"/>
    <w:rsid w:val="00A5453F"/>
    <w:rsid w:val="00A547B9"/>
    <w:rsid w:val="00A55798"/>
    <w:rsid w:val="00A558A4"/>
    <w:rsid w:val="00A55FD4"/>
    <w:rsid w:val="00A56966"/>
    <w:rsid w:val="00A56A4E"/>
    <w:rsid w:val="00A608B4"/>
    <w:rsid w:val="00A60C2C"/>
    <w:rsid w:val="00A61529"/>
    <w:rsid w:val="00A62191"/>
    <w:rsid w:val="00A62493"/>
    <w:rsid w:val="00A625AE"/>
    <w:rsid w:val="00A62FAC"/>
    <w:rsid w:val="00A64215"/>
    <w:rsid w:val="00A65422"/>
    <w:rsid w:val="00A65B99"/>
    <w:rsid w:val="00A66466"/>
    <w:rsid w:val="00A664CB"/>
    <w:rsid w:val="00A6667C"/>
    <w:rsid w:val="00A66965"/>
    <w:rsid w:val="00A669E9"/>
    <w:rsid w:val="00A707F0"/>
    <w:rsid w:val="00A7080E"/>
    <w:rsid w:val="00A7125A"/>
    <w:rsid w:val="00A71343"/>
    <w:rsid w:val="00A7237C"/>
    <w:rsid w:val="00A72787"/>
    <w:rsid w:val="00A73BBE"/>
    <w:rsid w:val="00A740FC"/>
    <w:rsid w:val="00A74360"/>
    <w:rsid w:val="00A7475F"/>
    <w:rsid w:val="00A747C3"/>
    <w:rsid w:val="00A748B8"/>
    <w:rsid w:val="00A75689"/>
    <w:rsid w:val="00A776A8"/>
    <w:rsid w:val="00A77823"/>
    <w:rsid w:val="00A818AE"/>
    <w:rsid w:val="00A81E5D"/>
    <w:rsid w:val="00A82619"/>
    <w:rsid w:val="00A830C5"/>
    <w:rsid w:val="00A8392B"/>
    <w:rsid w:val="00A83B18"/>
    <w:rsid w:val="00A83B5F"/>
    <w:rsid w:val="00A83C5E"/>
    <w:rsid w:val="00A83C80"/>
    <w:rsid w:val="00A84794"/>
    <w:rsid w:val="00A84FDA"/>
    <w:rsid w:val="00A856EC"/>
    <w:rsid w:val="00A86186"/>
    <w:rsid w:val="00A86379"/>
    <w:rsid w:val="00A871B6"/>
    <w:rsid w:val="00A87ABB"/>
    <w:rsid w:val="00A900C1"/>
    <w:rsid w:val="00A903BE"/>
    <w:rsid w:val="00A9063F"/>
    <w:rsid w:val="00A90713"/>
    <w:rsid w:val="00A91078"/>
    <w:rsid w:val="00A914BA"/>
    <w:rsid w:val="00A91859"/>
    <w:rsid w:val="00A91DA7"/>
    <w:rsid w:val="00A955FB"/>
    <w:rsid w:val="00A9743F"/>
    <w:rsid w:val="00A97641"/>
    <w:rsid w:val="00AA080D"/>
    <w:rsid w:val="00AA122C"/>
    <w:rsid w:val="00AA227D"/>
    <w:rsid w:val="00AA2916"/>
    <w:rsid w:val="00AA3648"/>
    <w:rsid w:val="00AA3FE4"/>
    <w:rsid w:val="00AA490C"/>
    <w:rsid w:val="00AA4919"/>
    <w:rsid w:val="00AA57E0"/>
    <w:rsid w:val="00AA59BE"/>
    <w:rsid w:val="00AA5E26"/>
    <w:rsid w:val="00AA6721"/>
    <w:rsid w:val="00AA6E28"/>
    <w:rsid w:val="00AA7123"/>
    <w:rsid w:val="00AA759F"/>
    <w:rsid w:val="00AA767A"/>
    <w:rsid w:val="00AA7F70"/>
    <w:rsid w:val="00AB0750"/>
    <w:rsid w:val="00AB0BB1"/>
    <w:rsid w:val="00AB483E"/>
    <w:rsid w:val="00AB56B9"/>
    <w:rsid w:val="00AB57AE"/>
    <w:rsid w:val="00AB5B76"/>
    <w:rsid w:val="00AB5FFD"/>
    <w:rsid w:val="00AB6019"/>
    <w:rsid w:val="00AB68D6"/>
    <w:rsid w:val="00AB6A0A"/>
    <w:rsid w:val="00AB71B5"/>
    <w:rsid w:val="00AB72B6"/>
    <w:rsid w:val="00AB75BC"/>
    <w:rsid w:val="00AB7885"/>
    <w:rsid w:val="00AC0EF7"/>
    <w:rsid w:val="00AC24C7"/>
    <w:rsid w:val="00AC2672"/>
    <w:rsid w:val="00AC37AC"/>
    <w:rsid w:val="00AC3A9B"/>
    <w:rsid w:val="00AC486B"/>
    <w:rsid w:val="00AC55B2"/>
    <w:rsid w:val="00AC57F7"/>
    <w:rsid w:val="00AC5BB7"/>
    <w:rsid w:val="00AC5DEE"/>
    <w:rsid w:val="00AC7E89"/>
    <w:rsid w:val="00AD0138"/>
    <w:rsid w:val="00AD061B"/>
    <w:rsid w:val="00AD0C98"/>
    <w:rsid w:val="00AD0E7D"/>
    <w:rsid w:val="00AD0E90"/>
    <w:rsid w:val="00AD1C47"/>
    <w:rsid w:val="00AD2D2A"/>
    <w:rsid w:val="00AD6EAD"/>
    <w:rsid w:val="00AD7A13"/>
    <w:rsid w:val="00AE11F9"/>
    <w:rsid w:val="00AE11FF"/>
    <w:rsid w:val="00AE2166"/>
    <w:rsid w:val="00AE3A27"/>
    <w:rsid w:val="00AE44DA"/>
    <w:rsid w:val="00AE4CFC"/>
    <w:rsid w:val="00AE545C"/>
    <w:rsid w:val="00AE54C8"/>
    <w:rsid w:val="00AE6480"/>
    <w:rsid w:val="00AE7A63"/>
    <w:rsid w:val="00AF0CDA"/>
    <w:rsid w:val="00AF1855"/>
    <w:rsid w:val="00AF2243"/>
    <w:rsid w:val="00AF3B0B"/>
    <w:rsid w:val="00AF4029"/>
    <w:rsid w:val="00AF47E1"/>
    <w:rsid w:val="00AF559E"/>
    <w:rsid w:val="00AF5A06"/>
    <w:rsid w:val="00AF5AC6"/>
    <w:rsid w:val="00AF5C47"/>
    <w:rsid w:val="00AF7A42"/>
    <w:rsid w:val="00AF7E5A"/>
    <w:rsid w:val="00B00324"/>
    <w:rsid w:val="00B00836"/>
    <w:rsid w:val="00B009DB"/>
    <w:rsid w:val="00B0178E"/>
    <w:rsid w:val="00B0283C"/>
    <w:rsid w:val="00B02BB8"/>
    <w:rsid w:val="00B02C35"/>
    <w:rsid w:val="00B02C68"/>
    <w:rsid w:val="00B02FC6"/>
    <w:rsid w:val="00B030B9"/>
    <w:rsid w:val="00B03189"/>
    <w:rsid w:val="00B03A77"/>
    <w:rsid w:val="00B051BB"/>
    <w:rsid w:val="00B052A4"/>
    <w:rsid w:val="00B05561"/>
    <w:rsid w:val="00B06013"/>
    <w:rsid w:val="00B063DD"/>
    <w:rsid w:val="00B0685B"/>
    <w:rsid w:val="00B071B0"/>
    <w:rsid w:val="00B07AC2"/>
    <w:rsid w:val="00B07B82"/>
    <w:rsid w:val="00B108C7"/>
    <w:rsid w:val="00B10A67"/>
    <w:rsid w:val="00B10D40"/>
    <w:rsid w:val="00B1139E"/>
    <w:rsid w:val="00B1235F"/>
    <w:rsid w:val="00B13494"/>
    <w:rsid w:val="00B134F8"/>
    <w:rsid w:val="00B14900"/>
    <w:rsid w:val="00B14A05"/>
    <w:rsid w:val="00B15510"/>
    <w:rsid w:val="00B15A6A"/>
    <w:rsid w:val="00B16250"/>
    <w:rsid w:val="00B1686E"/>
    <w:rsid w:val="00B1693D"/>
    <w:rsid w:val="00B210D0"/>
    <w:rsid w:val="00B21708"/>
    <w:rsid w:val="00B22BFF"/>
    <w:rsid w:val="00B23494"/>
    <w:rsid w:val="00B2388E"/>
    <w:rsid w:val="00B2467D"/>
    <w:rsid w:val="00B24C44"/>
    <w:rsid w:val="00B24DC6"/>
    <w:rsid w:val="00B24DF3"/>
    <w:rsid w:val="00B24E67"/>
    <w:rsid w:val="00B24F3B"/>
    <w:rsid w:val="00B2501E"/>
    <w:rsid w:val="00B253A7"/>
    <w:rsid w:val="00B25818"/>
    <w:rsid w:val="00B26B37"/>
    <w:rsid w:val="00B26E8E"/>
    <w:rsid w:val="00B301E5"/>
    <w:rsid w:val="00B30A96"/>
    <w:rsid w:val="00B30BA8"/>
    <w:rsid w:val="00B30E10"/>
    <w:rsid w:val="00B31724"/>
    <w:rsid w:val="00B32757"/>
    <w:rsid w:val="00B32A43"/>
    <w:rsid w:val="00B335C8"/>
    <w:rsid w:val="00B346E5"/>
    <w:rsid w:val="00B348CB"/>
    <w:rsid w:val="00B354D3"/>
    <w:rsid w:val="00B3569E"/>
    <w:rsid w:val="00B35753"/>
    <w:rsid w:val="00B35D3D"/>
    <w:rsid w:val="00B36016"/>
    <w:rsid w:val="00B366DE"/>
    <w:rsid w:val="00B368B6"/>
    <w:rsid w:val="00B36ADD"/>
    <w:rsid w:val="00B37E1D"/>
    <w:rsid w:val="00B40619"/>
    <w:rsid w:val="00B41457"/>
    <w:rsid w:val="00B41CE1"/>
    <w:rsid w:val="00B42DB5"/>
    <w:rsid w:val="00B42F5F"/>
    <w:rsid w:val="00B453F1"/>
    <w:rsid w:val="00B45682"/>
    <w:rsid w:val="00B46224"/>
    <w:rsid w:val="00B46BCC"/>
    <w:rsid w:val="00B46DD4"/>
    <w:rsid w:val="00B4761B"/>
    <w:rsid w:val="00B47D45"/>
    <w:rsid w:val="00B50181"/>
    <w:rsid w:val="00B522C0"/>
    <w:rsid w:val="00B52F16"/>
    <w:rsid w:val="00B53C86"/>
    <w:rsid w:val="00B54031"/>
    <w:rsid w:val="00B55C32"/>
    <w:rsid w:val="00B57233"/>
    <w:rsid w:val="00B60047"/>
    <w:rsid w:val="00B61739"/>
    <w:rsid w:val="00B62A2E"/>
    <w:rsid w:val="00B633E8"/>
    <w:rsid w:val="00B6584F"/>
    <w:rsid w:val="00B661DD"/>
    <w:rsid w:val="00B66A5E"/>
    <w:rsid w:val="00B67FF8"/>
    <w:rsid w:val="00B70A9E"/>
    <w:rsid w:val="00B70D99"/>
    <w:rsid w:val="00B71A45"/>
    <w:rsid w:val="00B71FA4"/>
    <w:rsid w:val="00B72633"/>
    <w:rsid w:val="00B72FD7"/>
    <w:rsid w:val="00B7421B"/>
    <w:rsid w:val="00B743B5"/>
    <w:rsid w:val="00B76166"/>
    <w:rsid w:val="00B779CE"/>
    <w:rsid w:val="00B8009A"/>
    <w:rsid w:val="00B805EB"/>
    <w:rsid w:val="00B80D04"/>
    <w:rsid w:val="00B828D2"/>
    <w:rsid w:val="00B8295F"/>
    <w:rsid w:val="00B83720"/>
    <w:rsid w:val="00B862AB"/>
    <w:rsid w:val="00B866DA"/>
    <w:rsid w:val="00B87733"/>
    <w:rsid w:val="00B92535"/>
    <w:rsid w:val="00B92EB4"/>
    <w:rsid w:val="00B93555"/>
    <w:rsid w:val="00B93557"/>
    <w:rsid w:val="00B9416B"/>
    <w:rsid w:val="00B94B08"/>
    <w:rsid w:val="00B9539C"/>
    <w:rsid w:val="00B956EA"/>
    <w:rsid w:val="00B95762"/>
    <w:rsid w:val="00B95CE1"/>
    <w:rsid w:val="00B9636A"/>
    <w:rsid w:val="00B96788"/>
    <w:rsid w:val="00B96869"/>
    <w:rsid w:val="00B968DD"/>
    <w:rsid w:val="00B96C15"/>
    <w:rsid w:val="00B97756"/>
    <w:rsid w:val="00BA02AD"/>
    <w:rsid w:val="00BA0D0A"/>
    <w:rsid w:val="00BA0DB3"/>
    <w:rsid w:val="00BA184C"/>
    <w:rsid w:val="00BA1ECB"/>
    <w:rsid w:val="00BA3166"/>
    <w:rsid w:val="00BA3775"/>
    <w:rsid w:val="00BA40A7"/>
    <w:rsid w:val="00BA42A3"/>
    <w:rsid w:val="00BA46FE"/>
    <w:rsid w:val="00BA5429"/>
    <w:rsid w:val="00BA6216"/>
    <w:rsid w:val="00BA64A4"/>
    <w:rsid w:val="00BA7FF8"/>
    <w:rsid w:val="00BB023F"/>
    <w:rsid w:val="00BB0254"/>
    <w:rsid w:val="00BB17C4"/>
    <w:rsid w:val="00BB25E8"/>
    <w:rsid w:val="00BB2658"/>
    <w:rsid w:val="00BB3646"/>
    <w:rsid w:val="00BB3714"/>
    <w:rsid w:val="00BB4BAA"/>
    <w:rsid w:val="00BB5A63"/>
    <w:rsid w:val="00BB5ABB"/>
    <w:rsid w:val="00BB5D1B"/>
    <w:rsid w:val="00BB63CD"/>
    <w:rsid w:val="00BB65E4"/>
    <w:rsid w:val="00BC0C6F"/>
    <w:rsid w:val="00BC124F"/>
    <w:rsid w:val="00BC2955"/>
    <w:rsid w:val="00BC2C7B"/>
    <w:rsid w:val="00BC2E54"/>
    <w:rsid w:val="00BC3CBC"/>
    <w:rsid w:val="00BC3D6C"/>
    <w:rsid w:val="00BC3F6A"/>
    <w:rsid w:val="00BC413D"/>
    <w:rsid w:val="00BC43A9"/>
    <w:rsid w:val="00BC4D8D"/>
    <w:rsid w:val="00BC5F80"/>
    <w:rsid w:val="00BC74B7"/>
    <w:rsid w:val="00BC7DFF"/>
    <w:rsid w:val="00BD0662"/>
    <w:rsid w:val="00BD10C9"/>
    <w:rsid w:val="00BD1C36"/>
    <w:rsid w:val="00BD1EAD"/>
    <w:rsid w:val="00BD2123"/>
    <w:rsid w:val="00BD29A9"/>
    <w:rsid w:val="00BD2D56"/>
    <w:rsid w:val="00BD2DE7"/>
    <w:rsid w:val="00BD38BB"/>
    <w:rsid w:val="00BD3FCF"/>
    <w:rsid w:val="00BD4E41"/>
    <w:rsid w:val="00BD5AD1"/>
    <w:rsid w:val="00BD5F2C"/>
    <w:rsid w:val="00BD64B5"/>
    <w:rsid w:val="00BD6A42"/>
    <w:rsid w:val="00BD7B90"/>
    <w:rsid w:val="00BE071C"/>
    <w:rsid w:val="00BE101B"/>
    <w:rsid w:val="00BE3020"/>
    <w:rsid w:val="00BE3200"/>
    <w:rsid w:val="00BE3818"/>
    <w:rsid w:val="00BE3B9E"/>
    <w:rsid w:val="00BE3EAF"/>
    <w:rsid w:val="00BE54AF"/>
    <w:rsid w:val="00BE5ED2"/>
    <w:rsid w:val="00BE62E5"/>
    <w:rsid w:val="00BE7719"/>
    <w:rsid w:val="00BE7E0B"/>
    <w:rsid w:val="00BF056B"/>
    <w:rsid w:val="00BF07FD"/>
    <w:rsid w:val="00BF0AA6"/>
    <w:rsid w:val="00BF1254"/>
    <w:rsid w:val="00BF1A13"/>
    <w:rsid w:val="00BF1B7C"/>
    <w:rsid w:val="00BF37EB"/>
    <w:rsid w:val="00BF37F6"/>
    <w:rsid w:val="00BF3E20"/>
    <w:rsid w:val="00BF4FBD"/>
    <w:rsid w:val="00BF5D6E"/>
    <w:rsid w:val="00BF6246"/>
    <w:rsid w:val="00BF6F13"/>
    <w:rsid w:val="00C007AC"/>
    <w:rsid w:val="00C00F60"/>
    <w:rsid w:val="00C01736"/>
    <w:rsid w:val="00C01CAE"/>
    <w:rsid w:val="00C020F9"/>
    <w:rsid w:val="00C0273C"/>
    <w:rsid w:val="00C0292C"/>
    <w:rsid w:val="00C032B1"/>
    <w:rsid w:val="00C034F2"/>
    <w:rsid w:val="00C0465E"/>
    <w:rsid w:val="00C04AEE"/>
    <w:rsid w:val="00C06259"/>
    <w:rsid w:val="00C06B5E"/>
    <w:rsid w:val="00C06EE9"/>
    <w:rsid w:val="00C07008"/>
    <w:rsid w:val="00C100BD"/>
    <w:rsid w:val="00C10D90"/>
    <w:rsid w:val="00C113A6"/>
    <w:rsid w:val="00C117E8"/>
    <w:rsid w:val="00C1184E"/>
    <w:rsid w:val="00C1263C"/>
    <w:rsid w:val="00C132E2"/>
    <w:rsid w:val="00C135A3"/>
    <w:rsid w:val="00C13A5E"/>
    <w:rsid w:val="00C141AB"/>
    <w:rsid w:val="00C14C99"/>
    <w:rsid w:val="00C15439"/>
    <w:rsid w:val="00C15480"/>
    <w:rsid w:val="00C16585"/>
    <w:rsid w:val="00C17DC4"/>
    <w:rsid w:val="00C21C6D"/>
    <w:rsid w:val="00C235A8"/>
    <w:rsid w:val="00C23D54"/>
    <w:rsid w:val="00C251F9"/>
    <w:rsid w:val="00C25292"/>
    <w:rsid w:val="00C258D1"/>
    <w:rsid w:val="00C2799E"/>
    <w:rsid w:val="00C30808"/>
    <w:rsid w:val="00C31965"/>
    <w:rsid w:val="00C31D92"/>
    <w:rsid w:val="00C33963"/>
    <w:rsid w:val="00C33BD6"/>
    <w:rsid w:val="00C34720"/>
    <w:rsid w:val="00C3518E"/>
    <w:rsid w:val="00C35B4D"/>
    <w:rsid w:val="00C35C6F"/>
    <w:rsid w:val="00C36F9E"/>
    <w:rsid w:val="00C378AF"/>
    <w:rsid w:val="00C40009"/>
    <w:rsid w:val="00C40582"/>
    <w:rsid w:val="00C40B5F"/>
    <w:rsid w:val="00C40F6F"/>
    <w:rsid w:val="00C4172F"/>
    <w:rsid w:val="00C429E2"/>
    <w:rsid w:val="00C43BEE"/>
    <w:rsid w:val="00C442DB"/>
    <w:rsid w:val="00C44EB7"/>
    <w:rsid w:val="00C45BCF"/>
    <w:rsid w:val="00C46444"/>
    <w:rsid w:val="00C4788E"/>
    <w:rsid w:val="00C47E01"/>
    <w:rsid w:val="00C500CD"/>
    <w:rsid w:val="00C5045E"/>
    <w:rsid w:val="00C5070E"/>
    <w:rsid w:val="00C50C9A"/>
    <w:rsid w:val="00C51DD1"/>
    <w:rsid w:val="00C52F84"/>
    <w:rsid w:val="00C52F9B"/>
    <w:rsid w:val="00C540B2"/>
    <w:rsid w:val="00C540D9"/>
    <w:rsid w:val="00C54789"/>
    <w:rsid w:val="00C5482C"/>
    <w:rsid w:val="00C5488B"/>
    <w:rsid w:val="00C550AC"/>
    <w:rsid w:val="00C560B7"/>
    <w:rsid w:val="00C56150"/>
    <w:rsid w:val="00C5619F"/>
    <w:rsid w:val="00C564FA"/>
    <w:rsid w:val="00C56AD0"/>
    <w:rsid w:val="00C56D7E"/>
    <w:rsid w:val="00C60CE5"/>
    <w:rsid w:val="00C61D84"/>
    <w:rsid w:val="00C62653"/>
    <w:rsid w:val="00C629B6"/>
    <w:rsid w:val="00C62C4F"/>
    <w:rsid w:val="00C62CB6"/>
    <w:rsid w:val="00C62E02"/>
    <w:rsid w:val="00C63BE8"/>
    <w:rsid w:val="00C640E3"/>
    <w:rsid w:val="00C656BA"/>
    <w:rsid w:val="00C65EA5"/>
    <w:rsid w:val="00C66D74"/>
    <w:rsid w:val="00C671B6"/>
    <w:rsid w:val="00C67BAB"/>
    <w:rsid w:val="00C67DED"/>
    <w:rsid w:val="00C7089E"/>
    <w:rsid w:val="00C70AD4"/>
    <w:rsid w:val="00C715B4"/>
    <w:rsid w:val="00C73C8E"/>
    <w:rsid w:val="00C74E1F"/>
    <w:rsid w:val="00C7534D"/>
    <w:rsid w:val="00C75BEB"/>
    <w:rsid w:val="00C75C7E"/>
    <w:rsid w:val="00C75CEF"/>
    <w:rsid w:val="00C7689A"/>
    <w:rsid w:val="00C76E83"/>
    <w:rsid w:val="00C76ED4"/>
    <w:rsid w:val="00C802B8"/>
    <w:rsid w:val="00C80458"/>
    <w:rsid w:val="00C8117D"/>
    <w:rsid w:val="00C8151D"/>
    <w:rsid w:val="00C81F09"/>
    <w:rsid w:val="00C82993"/>
    <w:rsid w:val="00C83229"/>
    <w:rsid w:val="00C83580"/>
    <w:rsid w:val="00C841AF"/>
    <w:rsid w:val="00C87396"/>
    <w:rsid w:val="00C90140"/>
    <w:rsid w:val="00C903C5"/>
    <w:rsid w:val="00C907C5"/>
    <w:rsid w:val="00C918C8"/>
    <w:rsid w:val="00C91A09"/>
    <w:rsid w:val="00C91C89"/>
    <w:rsid w:val="00C94459"/>
    <w:rsid w:val="00C948BD"/>
    <w:rsid w:val="00C952B3"/>
    <w:rsid w:val="00C953F9"/>
    <w:rsid w:val="00C95723"/>
    <w:rsid w:val="00C964EB"/>
    <w:rsid w:val="00C96B22"/>
    <w:rsid w:val="00C97081"/>
    <w:rsid w:val="00C97206"/>
    <w:rsid w:val="00CA145D"/>
    <w:rsid w:val="00CA3166"/>
    <w:rsid w:val="00CA3A61"/>
    <w:rsid w:val="00CA3FBB"/>
    <w:rsid w:val="00CA40D3"/>
    <w:rsid w:val="00CA47E8"/>
    <w:rsid w:val="00CA5E17"/>
    <w:rsid w:val="00CB0B93"/>
    <w:rsid w:val="00CB18F7"/>
    <w:rsid w:val="00CB2FD6"/>
    <w:rsid w:val="00CB3223"/>
    <w:rsid w:val="00CB34F3"/>
    <w:rsid w:val="00CB3C9C"/>
    <w:rsid w:val="00CB3F9A"/>
    <w:rsid w:val="00CB4295"/>
    <w:rsid w:val="00CB6793"/>
    <w:rsid w:val="00CB76A1"/>
    <w:rsid w:val="00CB7F48"/>
    <w:rsid w:val="00CC1070"/>
    <w:rsid w:val="00CC1FE0"/>
    <w:rsid w:val="00CC2081"/>
    <w:rsid w:val="00CC3AB5"/>
    <w:rsid w:val="00CC3D24"/>
    <w:rsid w:val="00CC4496"/>
    <w:rsid w:val="00CC5FE3"/>
    <w:rsid w:val="00CD19EB"/>
    <w:rsid w:val="00CD2687"/>
    <w:rsid w:val="00CD2E9D"/>
    <w:rsid w:val="00CD2F7F"/>
    <w:rsid w:val="00CD4097"/>
    <w:rsid w:val="00CD45D8"/>
    <w:rsid w:val="00CD48F0"/>
    <w:rsid w:val="00CD523C"/>
    <w:rsid w:val="00CD5285"/>
    <w:rsid w:val="00CD538F"/>
    <w:rsid w:val="00CD5B06"/>
    <w:rsid w:val="00CD7A76"/>
    <w:rsid w:val="00CE068D"/>
    <w:rsid w:val="00CE0C67"/>
    <w:rsid w:val="00CE11FC"/>
    <w:rsid w:val="00CE1ECE"/>
    <w:rsid w:val="00CE1ED4"/>
    <w:rsid w:val="00CE26CB"/>
    <w:rsid w:val="00CE2BF5"/>
    <w:rsid w:val="00CE2C16"/>
    <w:rsid w:val="00CE2FF0"/>
    <w:rsid w:val="00CE3551"/>
    <w:rsid w:val="00CE3657"/>
    <w:rsid w:val="00CE3877"/>
    <w:rsid w:val="00CE4A4C"/>
    <w:rsid w:val="00CE4E0B"/>
    <w:rsid w:val="00CE5C0A"/>
    <w:rsid w:val="00CE6A02"/>
    <w:rsid w:val="00CF0C48"/>
    <w:rsid w:val="00CF24C5"/>
    <w:rsid w:val="00CF2FF6"/>
    <w:rsid w:val="00CF3444"/>
    <w:rsid w:val="00CF3A8E"/>
    <w:rsid w:val="00CF41ED"/>
    <w:rsid w:val="00CF5029"/>
    <w:rsid w:val="00CF53DF"/>
    <w:rsid w:val="00CF5EFF"/>
    <w:rsid w:val="00CF6429"/>
    <w:rsid w:val="00CF6CCA"/>
    <w:rsid w:val="00CF7E6D"/>
    <w:rsid w:val="00D00291"/>
    <w:rsid w:val="00D00C78"/>
    <w:rsid w:val="00D010C9"/>
    <w:rsid w:val="00D025FB"/>
    <w:rsid w:val="00D02DB8"/>
    <w:rsid w:val="00D03984"/>
    <w:rsid w:val="00D03A7E"/>
    <w:rsid w:val="00D03ADE"/>
    <w:rsid w:val="00D04228"/>
    <w:rsid w:val="00D04ADD"/>
    <w:rsid w:val="00D06786"/>
    <w:rsid w:val="00D07A9F"/>
    <w:rsid w:val="00D1002B"/>
    <w:rsid w:val="00D10572"/>
    <w:rsid w:val="00D108CB"/>
    <w:rsid w:val="00D13543"/>
    <w:rsid w:val="00D1356E"/>
    <w:rsid w:val="00D13B14"/>
    <w:rsid w:val="00D148AE"/>
    <w:rsid w:val="00D15209"/>
    <w:rsid w:val="00D152A5"/>
    <w:rsid w:val="00D1539F"/>
    <w:rsid w:val="00D16360"/>
    <w:rsid w:val="00D168E7"/>
    <w:rsid w:val="00D16B0F"/>
    <w:rsid w:val="00D16BD3"/>
    <w:rsid w:val="00D16E6C"/>
    <w:rsid w:val="00D174C4"/>
    <w:rsid w:val="00D1783D"/>
    <w:rsid w:val="00D179EF"/>
    <w:rsid w:val="00D17B25"/>
    <w:rsid w:val="00D17E04"/>
    <w:rsid w:val="00D20176"/>
    <w:rsid w:val="00D208C1"/>
    <w:rsid w:val="00D20CF5"/>
    <w:rsid w:val="00D21778"/>
    <w:rsid w:val="00D2304B"/>
    <w:rsid w:val="00D231D0"/>
    <w:rsid w:val="00D233FB"/>
    <w:rsid w:val="00D23733"/>
    <w:rsid w:val="00D249C0"/>
    <w:rsid w:val="00D25D1F"/>
    <w:rsid w:val="00D27C06"/>
    <w:rsid w:val="00D30177"/>
    <w:rsid w:val="00D31028"/>
    <w:rsid w:val="00D3198B"/>
    <w:rsid w:val="00D330D7"/>
    <w:rsid w:val="00D3336E"/>
    <w:rsid w:val="00D33447"/>
    <w:rsid w:val="00D33DCB"/>
    <w:rsid w:val="00D348C5"/>
    <w:rsid w:val="00D34E3A"/>
    <w:rsid w:val="00D35303"/>
    <w:rsid w:val="00D37C76"/>
    <w:rsid w:val="00D40203"/>
    <w:rsid w:val="00D40F63"/>
    <w:rsid w:val="00D41730"/>
    <w:rsid w:val="00D42401"/>
    <w:rsid w:val="00D42BAC"/>
    <w:rsid w:val="00D43DF6"/>
    <w:rsid w:val="00D43E13"/>
    <w:rsid w:val="00D442AA"/>
    <w:rsid w:val="00D443D7"/>
    <w:rsid w:val="00D44CE2"/>
    <w:rsid w:val="00D44F6D"/>
    <w:rsid w:val="00D45323"/>
    <w:rsid w:val="00D4651C"/>
    <w:rsid w:val="00D50051"/>
    <w:rsid w:val="00D50836"/>
    <w:rsid w:val="00D50D2C"/>
    <w:rsid w:val="00D51072"/>
    <w:rsid w:val="00D511A1"/>
    <w:rsid w:val="00D5147E"/>
    <w:rsid w:val="00D5216E"/>
    <w:rsid w:val="00D52B77"/>
    <w:rsid w:val="00D52E9D"/>
    <w:rsid w:val="00D53F98"/>
    <w:rsid w:val="00D547D4"/>
    <w:rsid w:val="00D54E3E"/>
    <w:rsid w:val="00D55500"/>
    <w:rsid w:val="00D55612"/>
    <w:rsid w:val="00D5641B"/>
    <w:rsid w:val="00D60127"/>
    <w:rsid w:val="00D60C29"/>
    <w:rsid w:val="00D616DB"/>
    <w:rsid w:val="00D619B1"/>
    <w:rsid w:val="00D62161"/>
    <w:rsid w:val="00D63671"/>
    <w:rsid w:val="00D64217"/>
    <w:rsid w:val="00D655FD"/>
    <w:rsid w:val="00D65825"/>
    <w:rsid w:val="00D66275"/>
    <w:rsid w:val="00D66F05"/>
    <w:rsid w:val="00D67A77"/>
    <w:rsid w:val="00D71007"/>
    <w:rsid w:val="00D71740"/>
    <w:rsid w:val="00D728D2"/>
    <w:rsid w:val="00D73309"/>
    <w:rsid w:val="00D741FC"/>
    <w:rsid w:val="00D7431A"/>
    <w:rsid w:val="00D75742"/>
    <w:rsid w:val="00D75BC7"/>
    <w:rsid w:val="00D75EFB"/>
    <w:rsid w:val="00D76A4D"/>
    <w:rsid w:val="00D773DF"/>
    <w:rsid w:val="00D774A5"/>
    <w:rsid w:val="00D776B2"/>
    <w:rsid w:val="00D8044E"/>
    <w:rsid w:val="00D809C5"/>
    <w:rsid w:val="00D814D2"/>
    <w:rsid w:val="00D817B2"/>
    <w:rsid w:val="00D81CBD"/>
    <w:rsid w:val="00D8278A"/>
    <w:rsid w:val="00D82B24"/>
    <w:rsid w:val="00D83227"/>
    <w:rsid w:val="00D83276"/>
    <w:rsid w:val="00D84FA5"/>
    <w:rsid w:val="00D858A6"/>
    <w:rsid w:val="00D85BF7"/>
    <w:rsid w:val="00D8691F"/>
    <w:rsid w:val="00D86953"/>
    <w:rsid w:val="00D873FA"/>
    <w:rsid w:val="00D876F1"/>
    <w:rsid w:val="00D87848"/>
    <w:rsid w:val="00D91339"/>
    <w:rsid w:val="00D94040"/>
    <w:rsid w:val="00D9422B"/>
    <w:rsid w:val="00D948BE"/>
    <w:rsid w:val="00D96D25"/>
    <w:rsid w:val="00D972DC"/>
    <w:rsid w:val="00D97D4E"/>
    <w:rsid w:val="00DA10B6"/>
    <w:rsid w:val="00DA1207"/>
    <w:rsid w:val="00DA3219"/>
    <w:rsid w:val="00DA35AC"/>
    <w:rsid w:val="00DA3739"/>
    <w:rsid w:val="00DA42DD"/>
    <w:rsid w:val="00DA436E"/>
    <w:rsid w:val="00DA43CA"/>
    <w:rsid w:val="00DA6013"/>
    <w:rsid w:val="00DA6408"/>
    <w:rsid w:val="00DA70BE"/>
    <w:rsid w:val="00DB0991"/>
    <w:rsid w:val="00DB173A"/>
    <w:rsid w:val="00DB1C0C"/>
    <w:rsid w:val="00DB612A"/>
    <w:rsid w:val="00DB6D25"/>
    <w:rsid w:val="00DC01CB"/>
    <w:rsid w:val="00DC026E"/>
    <w:rsid w:val="00DC0B50"/>
    <w:rsid w:val="00DC1E3F"/>
    <w:rsid w:val="00DC246D"/>
    <w:rsid w:val="00DC2768"/>
    <w:rsid w:val="00DC2CEF"/>
    <w:rsid w:val="00DC3A75"/>
    <w:rsid w:val="00DC3ADC"/>
    <w:rsid w:val="00DC3F2F"/>
    <w:rsid w:val="00DC3F8D"/>
    <w:rsid w:val="00DC456C"/>
    <w:rsid w:val="00DC4DAA"/>
    <w:rsid w:val="00DC57BE"/>
    <w:rsid w:val="00DC6BFF"/>
    <w:rsid w:val="00DC7C4C"/>
    <w:rsid w:val="00DD05B0"/>
    <w:rsid w:val="00DD0DC3"/>
    <w:rsid w:val="00DD1E51"/>
    <w:rsid w:val="00DD31A5"/>
    <w:rsid w:val="00DD3229"/>
    <w:rsid w:val="00DD3B09"/>
    <w:rsid w:val="00DD3F47"/>
    <w:rsid w:val="00DD40C9"/>
    <w:rsid w:val="00DD497E"/>
    <w:rsid w:val="00DD5871"/>
    <w:rsid w:val="00DD6700"/>
    <w:rsid w:val="00DE0117"/>
    <w:rsid w:val="00DE111E"/>
    <w:rsid w:val="00DE18B8"/>
    <w:rsid w:val="00DE2954"/>
    <w:rsid w:val="00DE3757"/>
    <w:rsid w:val="00DE3819"/>
    <w:rsid w:val="00DE4477"/>
    <w:rsid w:val="00DE59A6"/>
    <w:rsid w:val="00DE5DB1"/>
    <w:rsid w:val="00DF1464"/>
    <w:rsid w:val="00DF1B70"/>
    <w:rsid w:val="00DF2539"/>
    <w:rsid w:val="00DF25CD"/>
    <w:rsid w:val="00DF2FB5"/>
    <w:rsid w:val="00DF539B"/>
    <w:rsid w:val="00DF5951"/>
    <w:rsid w:val="00DF5C9D"/>
    <w:rsid w:val="00DF6570"/>
    <w:rsid w:val="00DF6668"/>
    <w:rsid w:val="00DF6823"/>
    <w:rsid w:val="00DF69E3"/>
    <w:rsid w:val="00DF6FA3"/>
    <w:rsid w:val="00E0030A"/>
    <w:rsid w:val="00E00708"/>
    <w:rsid w:val="00E01086"/>
    <w:rsid w:val="00E014BE"/>
    <w:rsid w:val="00E01DAC"/>
    <w:rsid w:val="00E01FEA"/>
    <w:rsid w:val="00E02025"/>
    <w:rsid w:val="00E04F46"/>
    <w:rsid w:val="00E05290"/>
    <w:rsid w:val="00E0532D"/>
    <w:rsid w:val="00E058A1"/>
    <w:rsid w:val="00E05BA3"/>
    <w:rsid w:val="00E06C1F"/>
    <w:rsid w:val="00E07675"/>
    <w:rsid w:val="00E11C17"/>
    <w:rsid w:val="00E11EDD"/>
    <w:rsid w:val="00E122C3"/>
    <w:rsid w:val="00E1245B"/>
    <w:rsid w:val="00E140B0"/>
    <w:rsid w:val="00E14F4A"/>
    <w:rsid w:val="00E15147"/>
    <w:rsid w:val="00E153EF"/>
    <w:rsid w:val="00E1555D"/>
    <w:rsid w:val="00E16286"/>
    <w:rsid w:val="00E209DA"/>
    <w:rsid w:val="00E2139A"/>
    <w:rsid w:val="00E2171F"/>
    <w:rsid w:val="00E237A9"/>
    <w:rsid w:val="00E23F85"/>
    <w:rsid w:val="00E25501"/>
    <w:rsid w:val="00E25DB5"/>
    <w:rsid w:val="00E262E7"/>
    <w:rsid w:val="00E26FB3"/>
    <w:rsid w:val="00E27538"/>
    <w:rsid w:val="00E302C0"/>
    <w:rsid w:val="00E3053E"/>
    <w:rsid w:val="00E3110A"/>
    <w:rsid w:val="00E314DF"/>
    <w:rsid w:val="00E326FF"/>
    <w:rsid w:val="00E33639"/>
    <w:rsid w:val="00E338FB"/>
    <w:rsid w:val="00E33F8C"/>
    <w:rsid w:val="00E34107"/>
    <w:rsid w:val="00E3437A"/>
    <w:rsid w:val="00E343D8"/>
    <w:rsid w:val="00E35341"/>
    <w:rsid w:val="00E35551"/>
    <w:rsid w:val="00E35AD0"/>
    <w:rsid w:val="00E368AD"/>
    <w:rsid w:val="00E36AD9"/>
    <w:rsid w:val="00E37E5A"/>
    <w:rsid w:val="00E40591"/>
    <w:rsid w:val="00E408F2"/>
    <w:rsid w:val="00E40D5E"/>
    <w:rsid w:val="00E41476"/>
    <w:rsid w:val="00E42806"/>
    <w:rsid w:val="00E42FCA"/>
    <w:rsid w:val="00E434C8"/>
    <w:rsid w:val="00E43538"/>
    <w:rsid w:val="00E443AB"/>
    <w:rsid w:val="00E454BE"/>
    <w:rsid w:val="00E466B6"/>
    <w:rsid w:val="00E4680A"/>
    <w:rsid w:val="00E468CE"/>
    <w:rsid w:val="00E46ADC"/>
    <w:rsid w:val="00E47625"/>
    <w:rsid w:val="00E4771F"/>
    <w:rsid w:val="00E52CDA"/>
    <w:rsid w:val="00E542BF"/>
    <w:rsid w:val="00E55A4C"/>
    <w:rsid w:val="00E55DED"/>
    <w:rsid w:val="00E5601C"/>
    <w:rsid w:val="00E56B73"/>
    <w:rsid w:val="00E5722C"/>
    <w:rsid w:val="00E602F6"/>
    <w:rsid w:val="00E60937"/>
    <w:rsid w:val="00E60ED7"/>
    <w:rsid w:val="00E63327"/>
    <w:rsid w:val="00E63A5B"/>
    <w:rsid w:val="00E63E8D"/>
    <w:rsid w:val="00E64BD1"/>
    <w:rsid w:val="00E659AD"/>
    <w:rsid w:val="00E65AC2"/>
    <w:rsid w:val="00E665B4"/>
    <w:rsid w:val="00E6764B"/>
    <w:rsid w:val="00E67AA3"/>
    <w:rsid w:val="00E71DE7"/>
    <w:rsid w:val="00E721AD"/>
    <w:rsid w:val="00E72895"/>
    <w:rsid w:val="00E7406C"/>
    <w:rsid w:val="00E74A45"/>
    <w:rsid w:val="00E75097"/>
    <w:rsid w:val="00E765D4"/>
    <w:rsid w:val="00E765DF"/>
    <w:rsid w:val="00E77900"/>
    <w:rsid w:val="00E80155"/>
    <w:rsid w:val="00E802B1"/>
    <w:rsid w:val="00E80CD7"/>
    <w:rsid w:val="00E8116D"/>
    <w:rsid w:val="00E8121B"/>
    <w:rsid w:val="00E814D2"/>
    <w:rsid w:val="00E81531"/>
    <w:rsid w:val="00E81ED4"/>
    <w:rsid w:val="00E834D8"/>
    <w:rsid w:val="00E84B6D"/>
    <w:rsid w:val="00E85218"/>
    <w:rsid w:val="00E862E4"/>
    <w:rsid w:val="00E8649B"/>
    <w:rsid w:val="00E865C2"/>
    <w:rsid w:val="00E87B36"/>
    <w:rsid w:val="00E9123B"/>
    <w:rsid w:val="00E91345"/>
    <w:rsid w:val="00E91E56"/>
    <w:rsid w:val="00E9251E"/>
    <w:rsid w:val="00E92753"/>
    <w:rsid w:val="00E92887"/>
    <w:rsid w:val="00E92A88"/>
    <w:rsid w:val="00E92C87"/>
    <w:rsid w:val="00E946C1"/>
    <w:rsid w:val="00E95DDA"/>
    <w:rsid w:val="00E96454"/>
    <w:rsid w:val="00E96DAE"/>
    <w:rsid w:val="00EA0189"/>
    <w:rsid w:val="00EA0C9B"/>
    <w:rsid w:val="00EA1573"/>
    <w:rsid w:val="00EA1824"/>
    <w:rsid w:val="00EA1A99"/>
    <w:rsid w:val="00EA2500"/>
    <w:rsid w:val="00EA4578"/>
    <w:rsid w:val="00EA57D0"/>
    <w:rsid w:val="00EA5D8F"/>
    <w:rsid w:val="00EA6C1E"/>
    <w:rsid w:val="00EA7043"/>
    <w:rsid w:val="00EA775A"/>
    <w:rsid w:val="00EA7A8D"/>
    <w:rsid w:val="00EB1033"/>
    <w:rsid w:val="00EB122C"/>
    <w:rsid w:val="00EB1B34"/>
    <w:rsid w:val="00EB307B"/>
    <w:rsid w:val="00EB3756"/>
    <w:rsid w:val="00EB3F91"/>
    <w:rsid w:val="00EB4CDC"/>
    <w:rsid w:val="00EB53DC"/>
    <w:rsid w:val="00EB5B6B"/>
    <w:rsid w:val="00EB6BA7"/>
    <w:rsid w:val="00EB7345"/>
    <w:rsid w:val="00EC0A72"/>
    <w:rsid w:val="00EC2429"/>
    <w:rsid w:val="00EC2CC3"/>
    <w:rsid w:val="00EC34F2"/>
    <w:rsid w:val="00EC5A96"/>
    <w:rsid w:val="00EC6243"/>
    <w:rsid w:val="00EC6855"/>
    <w:rsid w:val="00EC6A15"/>
    <w:rsid w:val="00EC7066"/>
    <w:rsid w:val="00EC7999"/>
    <w:rsid w:val="00EC7C9E"/>
    <w:rsid w:val="00ED09AA"/>
    <w:rsid w:val="00ED0BF4"/>
    <w:rsid w:val="00ED119D"/>
    <w:rsid w:val="00ED1FB0"/>
    <w:rsid w:val="00ED3F45"/>
    <w:rsid w:val="00ED4D72"/>
    <w:rsid w:val="00ED4FED"/>
    <w:rsid w:val="00ED5D88"/>
    <w:rsid w:val="00ED7963"/>
    <w:rsid w:val="00EE1D60"/>
    <w:rsid w:val="00EE2A90"/>
    <w:rsid w:val="00EE3A82"/>
    <w:rsid w:val="00EE3A8C"/>
    <w:rsid w:val="00EE421E"/>
    <w:rsid w:val="00EE4235"/>
    <w:rsid w:val="00EE4B5B"/>
    <w:rsid w:val="00EE647B"/>
    <w:rsid w:val="00EE664E"/>
    <w:rsid w:val="00EE72E6"/>
    <w:rsid w:val="00EE765F"/>
    <w:rsid w:val="00EF08DB"/>
    <w:rsid w:val="00EF0AEA"/>
    <w:rsid w:val="00EF173B"/>
    <w:rsid w:val="00EF264B"/>
    <w:rsid w:val="00EF31B4"/>
    <w:rsid w:val="00EF3BED"/>
    <w:rsid w:val="00EF60FF"/>
    <w:rsid w:val="00EF62C4"/>
    <w:rsid w:val="00EF6922"/>
    <w:rsid w:val="00EF73A1"/>
    <w:rsid w:val="00EF7571"/>
    <w:rsid w:val="00EF767E"/>
    <w:rsid w:val="00F014D5"/>
    <w:rsid w:val="00F014F8"/>
    <w:rsid w:val="00F0193E"/>
    <w:rsid w:val="00F049B3"/>
    <w:rsid w:val="00F05415"/>
    <w:rsid w:val="00F057BE"/>
    <w:rsid w:val="00F069FB"/>
    <w:rsid w:val="00F06CB9"/>
    <w:rsid w:val="00F103BE"/>
    <w:rsid w:val="00F1112E"/>
    <w:rsid w:val="00F121D3"/>
    <w:rsid w:val="00F1290D"/>
    <w:rsid w:val="00F12B2F"/>
    <w:rsid w:val="00F1337F"/>
    <w:rsid w:val="00F13BD1"/>
    <w:rsid w:val="00F13D0A"/>
    <w:rsid w:val="00F141EC"/>
    <w:rsid w:val="00F14621"/>
    <w:rsid w:val="00F146C1"/>
    <w:rsid w:val="00F15137"/>
    <w:rsid w:val="00F152C6"/>
    <w:rsid w:val="00F16927"/>
    <w:rsid w:val="00F16CCF"/>
    <w:rsid w:val="00F175C0"/>
    <w:rsid w:val="00F179D8"/>
    <w:rsid w:val="00F17CF9"/>
    <w:rsid w:val="00F17D92"/>
    <w:rsid w:val="00F201CB"/>
    <w:rsid w:val="00F2117C"/>
    <w:rsid w:val="00F233F0"/>
    <w:rsid w:val="00F243C4"/>
    <w:rsid w:val="00F24540"/>
    <w:rsid w:val="00F24C28"/>
    <w:rsid w:val="00F25A74"/>
    <w:rsid w:val="00F25BB5"/>
    <w:rsid w:val="00F26334"/>
    <w:rsid w:val="00F26940"/>
    <w:rsid w:val="00F26A6C"/>
    <w:rsid w:val="00F26C80"/>
    <w:rsid w:val="00F27544"/>
    <w:rsid w:val="00F2756B"/>
    <w:rsid w:val="00F302B7"/>
    <w:rsid w:val="00F30932"/>
    <w:rsid w:val="00F31238"/>
    <w:rsid w:val="00F33B92"/>
    <w:rsid w:val="00F34E07"/>
    <w:rsid w:val="00F35044"/>
    <w:rsid w:val="00F35EF8"/>
    <w:rsid w:val="00F363F2"/>
    <w:rsid w:val="00F37632"/>
    <w:rsid w:val="00F377EB"/>
    <w:rsid w:val="00F37E27"/>
    <w:rsid w:val="00F40674"/>
    <w:rsid w:val="00F40752"/>
    <w:rsid w:val="00F4187B"/>
    <w:rsid w:val="00F41DB7"/>
    <w:rsid w:val="00F42186"/>
    <w:rsid w:val="00F42F6F"/>
    <w:rsid w:val="00F43220"/>
    <w:rsid w:val="00F43431"/>
    <w:rsid w:val="00F4390E"/>
    <w:rsid w:val="00F453B8"/>
    <w:rsid w:val="00F456A3"/>
    <w:rsid w:val="00F45982"/>
    <w:rsid w:val="00F464B0"/>
    <w:rsid w:val="00F46F00"/>
    <w:rsid w:val="00F47BE9"/>
    <w:rsid w:val="00F502F2"/>
    <w:rsid w:val="00F50685"/>
    <w:rsid w:val="00F506EA"/>
    <w:rsid w:val="00F50D2A"/>
    <w:rsid w:val="00F52C22"/>
    <w:rsid w:val="00F53B7A"/>
    <w:rsid w:val="00F55E7C"/>
    <w:rsid w:val="00F56AA8"/>
    <w:rsid w:val="00F576D0"/>
    <w:rsid w:val="00F578AA"/>
    <w:rsid w:val="00F601D6"/>
    <w:rsid w:val="00F61AB1"/>
    <w:rsid w:val="00F61C23"/>
    <w:rsid w:val="00F62685"/>
    <w:rsid w:val="00F6275B"/>
    <w:rsid w:val="00F62CBA"/>
    <w:rsid w:val="00F637B6"/>
    <w:rsid w:val="00F63AB0"/>
    <w:rsid w:val="00F63C2C"/>
    <w:rsid w:val="00F642A8"/>
    <w:rsid w:val="00F64945"/>
    <w:rsid w:val="00F64BCD"/>
    <w:rsid w:val="00F65E65"/>
    <w:rsid w:val="00F662A4"/>
    <w:rsid w:val="00F66832"/>
    <w:rsid w:val="00F67024"/>
    <w:rsid w:val="00F674D6"/>
    <w:rsid w:val="00F67619"/>
    <w:rsid w:val="00F70CBB"/>
    <w:rsid w:val="00F70D88"/>
    <w:rsid w:val="00F71B8C"/>
    <w:rsid w:val="00F72568"/>
    <w:rsid w:val="00F725A7"/>
    <w:rsid w:val="00F72CD9"/>
    <w:rsid w:val="00F73CDF"/>
    <w:rsid w:val="00F73DD1"/>
    <w:rsid w:val="00F74F09"/>
    <w:rsid w:val="00F751D6"/>
    <w:rsid w:val="00F75A14"/>
    <w:rsid w:val="00F769CF"/>
    <w:rsid w:val="00F76DB5"/>
    <w:rsid w:val="00F77E68"/>
    <w:rsid w:val="00F77F63"/>
    <w:rsid w:val="00F800AD"/>
    <w:rsid w:val="00F80432"/>
    <w:rsid w:val="00F80737"/>
    <w:rsid w:val="00F80FC4"/>
    <w:rsid w:val="00F82962"/>
    <w:rsid w:val="00F829D0"/>
    <w:rsid w:val="00F82DDB"/>
    <w:rsid w:val="00F8340B"/>
    <w:rsid w:val="00F83809"/>
    <w:rsid w:val="00F83B93"/>
    <w:rsid w:val="00F853A8"/>
    <w:rsid w:val="00F86203"/>
    <w:rsid w:val="00F86BA0"/>
    <w:rsid w:val="00F87464"/>
    <w:rsid w:val="00F9019F"/>
    <w:rsid w:val="00F902D8"/>
    <w:rsid w:val="00F91FCB"/>
    <w:rsid w:val="00F92108"/>
    <w:rsid w:val="00F9220A"/>
    <w:rsid w:val="00F92EC9"/>
    <w:rsid w:val="00F93597"/>
    <w:rsid w:val="00F9418F"/>
    <w:rsid w:val="00F96707"/>
    <w:rsid w:val="00F96797"/>
    <w:rsid w:val="00F97A43"/>
    <w:rsid w:val="00F97BEA"/>
    <w:rsid w:val="00FA0346"/>
    <w:rsid w:val="00FA1493"/>
    <w:rsid w:val="00FA1862"/>
    <w:rsid w:val="00FA1A2B"/>
    <w:rsid w:val="00FA1B38"/>
    <w:rsid w:val="00FA1D05"/>
    <w:rsid w:val="00FA1E89"/>
    <w:rsid w:val="00FA2027"/>
    <w:rsid w:val="00FA2B23"/>
    <w:rsid w:val="00FA3A20"/>
    <w:rsid w:val="00FA4160"/>
    <w:rsid w:val="00FA5E02"/>
    <w:rsid w:val="00FA696C"/>
    <w:rsid w:val="00FA7585"/>
    <w:rsid w:val="00FA77C3"/>
    <w:rsid w:val="00FB0CCE"/>
    <w:rsid w:val="00FB1C29"/>
    <w:rsid w:val="00FB1E14"/>
    <w:rsid w:val="00FB2133"/>
    <w:rsid w:val="00FB25CE"/>
    <w:rsid w:val="00FB2BFB"/>
    <w:rsid w:val="00FB2E75"/>
    <w:rsid w:val="00FB3042"/>
    <w:rsid w:val="00FB3706"/>
    <w:rsid w:val="00FB371B"/>
    <w:rsid w:val="00FB4026"/>
    <w:rsid w:val="00FB4942"/>
    <w:rsid w:val="00FB5395"/>
    <w:rsid w:val="00FB5A4F"/>
    <w:rsid w:val="00FB5CB0"/>
    <w:rsid w:val="00FB60B1"/>
    <w:rsid w:val="00FB6279"/>
    <w:rsid w:val="00FB7185"/>
    <w:rsid w:val="00FB735F"/>
    <w:rsid w:val="00FB7457"/>
    <w:rsid w:val="00FC1372"/>
    <w:rsid w:val="00FC1654"/>
    <w:rsid w:val="00FC1908"/>
    <w:rsid w:val="00FC3514"/>
    <w:rsid w:val="00FC3890"/>
    <w:rsid w:val="00FC3A39"/>
    <w:rsid w:val="00FC3DD0"/>
    <w:rsid w:val="00FC57A1"/>
    <w:rsid w:val="00FC61ED"/>
    <w:rsid w:val="00FC6513"/>
    <w:rsid w:val="00FC7963"/>
    <w:rsid w:val="00FD0495"/>
    <w:rsid w:val="00FD086C"/>
    <w:rsid w:val="00FD2AE3"/>
    <w:rsid w:val="00FD2F11"/>
    <w:rsid w:val="00FD33DD"/>
    <w:rsid w:val="00FD48D6"/>
    <w:rsid w:val="00FD58B5"/>
    <w:rsid w:val="00FD5E57"/>
    <w:rsid w:val="00FD656D"/>
    <w:rsid w:val="00FD7B92"/>
    <w:rsid w:val="00FE04E7"/>
    <w:rsid w:val="00FE128D"/>
    <w:rsid w:val="00FE1372"/>
    <w:rsid w:val="00FE1551"/>
    <w:rsid w:val="00FE1D04"/>
    <w:rsid w:val="00FE2355"/>
    <w:rsid w:val="00FE2B30"/>
    <w:rsid w:val="00FE3698"/>
    <w:rsid w:val="00FE3FF3"/>
    <w:rsid w:val="00FE485E"/>
    <w:rsid w:val="00FE52B0"/>
    <w:rsid w:val="00FE6629"/>
    <w:rsid w:val="00FE71E7"/>
    <w:rsid w:val="00FE7AC9"/>
    <w:rsid w:val="00FF0749"/>
    <w:rsid w:val="00FF0824"/>
    <w:rsid w:val="00FF1D90"/>
    <w:rsid w:val="00FF1F96"/>
    <w:rsid w:val="00FF3C4D"/>
    <w:rsid w:val="00FF4A41"/>
    <w:rsid w:val="00FF4B68"/>
    <w:rsid w:val="00FF4DA5"/>
    <w:rsid w:val="00FF6FCF"/>
    <w:rsid w:val="00FF7B36"/>
    <w:rsid w:val="010D29DD"/>
    <w:rsid w:val="010E14FB"/>
    <w:rsid w:val="010F4A25"/>
    <w:rsid w:val="01160C73"/>
    <w:rsid w:val="011961BE"/>
    <w:rsid w:val="013514C1"/>
    <w:rsid w:val="0144027F"/>
    <w:rsid w:val="014F48FF"/>
    <w:rsid w:val="01562C2D"/>
    <w:rsid w:val="01566E95"/>
    <w:rsid w:val="01581737"/>
    <w:rsid w:val="015B4FE6"/>
    <w:rsid w:val="01683CAE"/>
    <w:rsid w:val="016A347B"/>
    <w:rsid w:val="017F6BDF"/>
    <w:rsid w:val="01802634"/>
    <w:rsid w:val="01804EEE"/>
    <w:rsid w:val="01806DEA"/>
    <w:rsid w:val="01823113"/>
    <w:rsid w:val="018C4947"/>
    <w:rsid w:val="018C5ECB"/>
    <w:rsid w:val="019333EC"/>
    <w:rsid w:val="0198291B"/>
    <w:rsid w:val="01993D60"/>
    <w:rsid w:val="019D0C87"/>
    <w:rsid w:val="01A60738"/>
    <w:rsid w:val="01A939B9"/>
    <w:rsid w:val="01AC33F0"/>
    <w:rsid w:val="01C779AD"/>
    <w:rsid w:val="01DB5381"/>
    <w:rsid w:val="01DF7AAC"/>
    <w:rsid w:val="01ED5E28"/>
    <w:rsid w:val="01EF3EE5"/>
    <w:rsid w:val="01F0375E"/>
    <w:rsid w:val="020471A3"/>
    <w:rsid w:val="021134D2"/>
    <w:rsid w:val="021C09F5"/>
    <w:rsid w:val="02224EE8"/>
    <w:rsid w:val="02306730"/>
    <w:rsid w:val="023A6F62"/>
    <w:rsid w:val="023F0F6D"/>
    <w:rsid w:val="024C1A72"/>
    <w:rsid w:val="025944B3"/>
    <w:rsid w:val="025B2765"/>
    <w:rsid w:val="026306B9"/>
    <w:rsid w:val="02721851"/>
    <w:rsid w:val="027C5214"/>
    <w:rsid w:val="027F1834"/>
    <w:rsid w:val="028879CF"/>
    <w:rsid w:val="028D6FFD"/>
    <w:rsid w:val="02900CBF"/>
    <w:rsid w:val="02984DCF"/>
    <w:rsid w:val="029A1B3E"/>
    <w:rsid w:val="029B3CC8"/>
    <w:rsid w:val="029B7584"/>
    <w:rsid w:val="029F110D"/>
    <w:rsid w:val="02A05595"/>
    <w:rsid w:val="02A106B1"/>
    <w:rsid w:val="02A35C9F"/>
    <w:rsid w:val="02A36243"/>
    <w:rsid w:val="02AB5AF9"/>
    <w:rsid w:val="02D17D0C"/>
    <w:rsid w:val="02D7370F"/>
    <w:rsid w:val="02DC54F1"/>
    <w:rsid w:val="02DF2150"/>
    <w:rsid w:val="02E76988"/>
    <w:rsid w:val="02EF5DB1"/>
    <w:rsid w:val="02F249AC"/>
    <w:rsid w:val="02FF0D97"/>
    <w:rsid w:val="03031491"/>
    <w:rsid w:val="03056257"/>
    <w:rsid w:val="030A2DA3"/>
    <w:rsid w:val="031A126E"/>
    <w:rsid w:val="031B34DB"/>
    <w:rsid w:val="0340120E"/>
    <w:rsid w:val="03433F84"/>
    <w:rsid w:val="03480585"/>
    <w:rsid w:val="034B65DE"/>
    <w:rsid w:val="034D553E"/>
    <w:rsid w:val="034F4892"/>
    <w:rsid w:val="03510409"/>
    <w:rsid w:val="03695354"/>
    <w:rsid w:val="036F3F3C"/>
    <w:rsid w:val="038D2896"/>
    <w:rsid w:val="039434F6"/>
    <w:rsid w:val="039C7B1B"/>
    <w:rsid w:val="03A6253F"/>
    <w:rsid w:val="03A9424C"/>
    <w:rsid w:val="03AD6C3E"/>
    <w:rsid w:val="03B2232C"/>
    <w:rsid w:val="03B45E2D"/>
    <w:rsid w:val="03BE768C"/>
    <w:rsid w:val="03C6577E"/>
    <w:rsid w:val="03DB41BC"/>
    <w:rsid w:val="03DF4F37"/>
    <w:rsid w:val="03E906A8"/>
    <w:rsid w:val="03EC66E4"/>
    <w:rsid w:val="03F830F2"/>
    <w:rsid w:val="04001637"/>
    <w:rsid w:val="04010AA8"/>
    <w:rsid w:val="041001E9"/>
    <w:rsid w:val="041F4945"/>
    <w:rsid w:val="04220C31"/>
    <w:rsid w:val="04304D1F"/>
    <w:rsid w:val="04324FD3"/>
    <w:rsid w:val="0437217A"/>
    <w:rsid w:val="04390F2F"/>
    <w:rsid w:val="043978E6"/>
    <w:rsid w:val="045075A3"/>
    <w:rsid w:val="045718E8"/>
    <w:rsid w:val="045A0B07"/>
    <w:rsid w:val="04643753"/>
    <w:rsid w:val="046F36F6"/>
    <w:rsid w:val="047A7A75"/>
    <w:rsid w:val="047B3878"/>
    <w:rsid w:val="047D2036"/>
    <w:rsid w:val="048A489B"/>
    <w:rsid w:val="048B2094"/>
    <w:rsid w:val="048B2B27"/>
    <w:rsid w:val="048E3149"/>
    <w:rsid w:val="049A5E25"/>
    <w:rsid w:val="04A74F4D"/>
    <w:rsid w:val="04BF4B7A"/>
    <w:rsid w:val="04C23293"/>
    <w:rsid w:val="04C418E7"/>
    <w:rsid w:val="04C50547"/>
    <w:rsid w:val="04CE04D6"/>
    <w:rsid w:val="04D7071A"/>
    <w:rsid w:val="04D743E6"/>
    <w:rsid w:val="04D76A50"/>
    <w:rsid w:val="04E34280"/>
    <w:rsid w:val="04F177BB"/>
    <w:rsid w:val="050131F2"/>
    <w:rsid w:val="051469D9"/>
    <w:rsid w:val="051C683A"/>
    <w:rsid w:val="05222335"/>
    <w:rsid w:val="05304288"/>
    <w:rsid w:val="05346A7D"/>
    <w:rsid w:val="05376102"/>
    <w:rsid w:val="053E3402"/>
    <w:rsid w:val="054F6341"/>
    <w:rsid w:val="05500E74"/>
    <w:rsid w:val="055C0CBF"/>
    <w:rsid w:val="0565142B"/>
    <w:rsid w:val="0566637B"/>
    <w:rsid w:val="0570092D"/>
    <w:rsid w:val="0583332E"/>
    <w:rsid w:val="05843ACB"/>
    <w:rsid w:val="058624F5"/>
    <w:rsid w:val="058D598A"/>
    <w:rsid w:val="05943848"/>
    <w:rsid w:val="05945126"/>
    <w:rsid w:val="059F1423"/>
    <w:rsid w:val="05AE5755"/>
    <w:rsid w:val="05B31797"/>
    <w:rsid w:val="05B32D25"/>
    <w:rsid w:val="05BE7664"/>
    <w:rsid w:val="05C17A30"/>
    <w:rsid w:val="05CF0F48"/>
    <w:rsid w:val="05D329E6"/>
    <w:rsid w:val="05D93595"/>
    <w:rsid w:val="05DB3239"/>
    <w:rsid w:val="05E575A1"/>
    <w:rsid w:val="05EA4B8A"/>
    <w:rsid w:val="05F50A78"/>
    <w:rsid w:val="05F87CDF"/>
    <w:rsid w:val="0608498E"/>
    <w:rsid w:val="060D2810"/>
    <w:rsid w:val="06110369"/>
    <w:rsid w:val="061B3B6F"/>
    <w:rsid w:val="061F481D"/>
    <w:rsid w:val="06235F3C"/>
    <w:rsid w:val="0627337D"/>
    <w:rsid w:val="063153B2"/>
    <w:rsid w:val="06393647"/>
    <w:rsid w:val="06394B13"/>
    <w:rsid w:val="06462DE7"/>
    <w:rsid w:val="06494156"/>
    <w:rsid w:val="064E267C"/>
    <w:rsid w:val="064F644D"/>
    <w:rsid w:val="06587B50"/>
    <w:rsid w:val="0659018F"/>
    <w:rsid w:val="065E5B31"/>
    <w:rsid w:val="066F674A"/>
    <w:rsid w:val="06726689"/>
    <w:rsid w:val="067D3F8B"/>
    <w:rsid w:val="06836F92"/>
    <w:rsid w:val="06865FC5"/>
    <w:rsid w:val="06880DC0"/>
    <w:rsid w:val="069416DB"/>
    <w:rsid w:val="069421B4"/>
    <w:rsid w:val="06A5583E"/>
    <w:rsid w:val="06A75CE4"/>
    <w:rsid w:val="06A82E87"/>
    <w:rsid w:val="06AB6E47"/>
    <w:rsid w:val="06B322BC"/>
    <w:rsid w:val="06C83B4C"/>
    <w:rsid w:val="06D604ED"/>
    <w:rsid w:val="06D62A3A"/>
    <w:rsid w:val="06DF3379"/>
    <w:rsid w:val="06E7491A"/>
    <w:rsid w:val="06EA5424"/>
    <w:rsid w:val="06F316D8"/>
    <w:rsid w:val="06FC06AB"/>
    <w:rsid w:val="07027C18"/>
    <w:rsid w:val="07031BD4"/>
    <w:rsid w:val="07037F8D"/>
    <w:rsid w:val="071142C8"/>
    <w:rsid w:val="07132BDC"/>
    <w:rsid w:val="07244ED5"/>
    <w:rsid w:val="072A62F7"/>
    <w:rsid w:val="072C7C8F"/>
    <w:rsid w:val="07342561"/>
    <w:rsid w:val="073A6153"/>
    <w:rsid w:val="073D6666"/>
    <w:rsid w:val="07416E76"/>
    <w:rsid w:val="07476CBE"/>
    <w:rsid w:val="074970E4"/>
    <w:rsid w:val="074B2D67"/>
    <w:rsid w:val="07556CC2"/>
    <w:rsid w:val="075C2427"/>
    <w:rsid w:val="075E7713"/>
    <w:rsid w:val="077217E9"/>
    <w:rsid w:val="077229AA"/>
    <w:rsid w:val="077C170E"/>
    <w:rsid w:val="078212B3"/>
    <w:rsid w:val="0788778F"/>
    <w:rsid w:val="0789594F"/>
    <w:rsid w:val="079465E4"/>
    <w:rsid w:val="079B2383"/>
    <w:rsid w:val="07A00EC2"/>
    <w:rsid w:val="07AB0349"/>
    <w:rsid w:val="07B216D8"/>
    <w:rsid w:val="07BA7B75"/>
    <w:rsid w:val="07BC2184"/>
    <w:rsid w:val="07C0554C"/>
    <w:rsid w:val="07C079A3"/>
    <w:rsid w:val="07C45E05"/>
    <w:rsid w:val="07CE04BA"/>
    <w:rsid w:val="07CE7E3E"/>
    <w:rsid w:val="07CF2F63"/>
    <w:rsid w:val="07E16F68"/>
    <w:rsid w:val="07E412CF"/>
    <w:rsid w:val="07EC3494"/>
    <w:rsid w:val="07EC4BEA"/>
    <w:rsid w:val="07F157C5"/>
    <w:rsid w:val="07F71ADD"/>
    <w:rsid w:val="07F90BCD"/>
    <w:rsid w:val="08064E73"/>
    <w:rsid w:val="080C6A7A"/>
    <w:rsid w:val="08170826"/>
    <w:rsid w:val="0822685D"/>
    <w:rsid w:val="08321E1C"/>
    <w:rsid w:val="08336C28"/>
    <w:rsid w:val="08383F79"/>
    <w:rsid w:val="083B6547"/>
    <w:rsid w:val="083D6EBF"/>
    <w:rsid w:val="0849513E"/>
    <w:rsid w:val="085B0DB6"/>
    <w:rsid w:val="085B45B0"/>
    <w:rsid w:val="08617E7F"/>
    <w:rsid w:val="08623202"/>
    <w:rsid w:val="086A2F1C"/>
    <w:rsid w:val="086B31D7"/>
    <w:rsid w:val="086D2620"/>
    <w:rsid w:val="0884613C"/>
    <w:rsid w:val="0885108B"/>
    <w:rsid w:val="08890168"/>
    <w:rsid w:val="08892CD0"/>
    <w:rsid w:val="08935065"/>
    <w:rsid w:val="08A64CEF"/>
    <w:rsid w:val="08AA0E28"/>
    <w:rsid w:val="08AF0760"/>
    <w:rsid w:val="08B221B9"/>
    <w:rsid w:val="08BD47E3"/>
    <w:rsid w:val="08C77892"/>
    <w:rsid w:val="08DB332A"/>
    <w:rsid w:val="08DD09D6"/>
    <w:rsid w:val="08E624C7"/>
    <w:rsid w:val="08E9594B"/>
    <w:rsid w:val="08EB41B7"/>
    <w:rsid w:val="08EC15E7"/>
    <w:rsid w:val="08ED308F"/>
    <w:rsid w:val="08EE2BF3"/>
    <w:rsid w:val="08F1482A"/>
    <w:rsid w:val="08F5022B"/>
    <w:rsid w:val="08FD1E73"/>
    <w:rsid w:val="09012DF7"/>
    <w:rsid w:val="090E154F"/>
    <w:rsid w:val="09133129"/>
    <w:rsid w:val="091D62DB"/>
    <w:rsid w:val="091E78C8"/>
    <w:rsid w:val="091F6E57"/>
    <w:rsid w:val="09282B4D"/>
    <w:rsid w:val="093929F9"/>
    <w:rsid w:val="09435109"/>
    <w:rsid w:val="094E5AC9"/>
    <w:rsid w:val="094F3160"/>
    <w:rsid w:val="09507740"/>
    <w:rsid w:val="095636FA"/>
    <w:rsid w:val="0956424F"/>
    <w:rsid w:val="0958600F"/>
    <w:rsid w:val="095A7D87"/>
    <w:rsid w:val="09696734"/>
    <w:rsid w:val="09715280"/>
    <w:rsid w:val="0974233D"/>
    <w:rsid w:val="09742CE3"/>
    <w:rsid w:val="09756E61"/>
    <w:rsid w:val="09782ABC"/>
    <w:rsid w:val="097D3900"/>
    <w:rsid w:val="097F4234"/>
    <w:rsid w:val="09847469"/>
    <w:rsid w:val="09864BCA"/>
    <w:rsid w:val="098801D9"/>
    <w:rsid w:val="098A5414"/>
    <w:rsid w:val="098B1935"/>
    <w:rsid w:val="099228F3"/>
    <w:rsid w:val="09965040"/>
    <w:rsid w:val="099A02D2"/>
    <w:rsid w:val="09A008E9"/>
    <w:rsid w:val="09A23EF0"/>
    <w:rsid w:val="09A72CC2"/>
    <w:rsid w:val="09AA04EE"/>
    <w:rsid w:val="09B61836"/>
    <w:rsid w:val="09C51A35"/>
    <w:rsid w:val="09CC53D1"/>
    <w:rsid w:val="09CC78F0"/>
    <w:rsid w:val="09D00A16"/>
    <w:rsid w:val="09D03145"/>
    <w:rsid w:val="09D52A9A"/>
    <w:rsid w:val="09E62B9E"/>
    <w:rsid w:val="09EF4328"/>
    <w:rsid w:val="09FE3E78"/>
    <w:rsid w:val="0A022504"/>
    <w:rsid w:val="0A106BB3"/>
    <w:rsid w:val="0A1379DE"/>
    <w:rsid w:val="0A1B5825"/>
    <w:rsid w:val="0A1F76D6"/>
    <w:rsid w:val="0A2970D7"/>
    <w:rsid w:val="0A330C97"/>
    <w:rsid w:val="0A3A1E71"/>
    <w:rsid w:val="0A45782B"/>
    <w:rsid w:val="0A6638C5"/>
    <w:rsid w:val="0A6B4B34"/>
    <w:rsid w:val="0A6C6ABD"/>
    <w:rsid w:val="0A6D1CB8"/>
    <w:rsid w:val="0A6F1017"/>
    <w:rsid w:val="0A724438"/>
    <w:rsid w:val="0A76292C"/>
    <w:rsid w:val="0A76584A"/>
    <w:rsid w:val="0A81789E"/>
    <w:rsid w:val="0A8245CC"/>
    <w:rsid w:val="0A835F12"/>
    <w:rsid w:val="0A843FBE"/>
    <w:rsid w:val="0A8B2607"/>
    <w:rsid w:val="0A8D7298"/>
    <w:rsid w:val="0A96362F"/>
    <w:rsid w:val="0A994E81"/>
    <w:rsid w:val="0A9A0367"/>
    <w:rsid w:val="0A9B7AAA"/>
    <w:rsid w:val="0AA60286"/>
    <w:rsid w:val="0AA7129C"/>
    <w:rsid w:val="0AB25F63"/>
    <w:rsid w:val="0AB37A5D"/>
    <w:rsid w:val="0AB62CEF"/>
    <w:rsid w:val="0AB878BE"/>
    <w:rsid w:val="0ABB2716"/>
    <w:rsid w:val="0AC3572F"/>
    <w:rsid w:val="0AC975E9"/>
    <w:rsid w:val="0AD63FED"/>
    <w:rsid w:val="0ADF658F"/>
    <w:rsid w:val="0AE33706"/>
    <w:rsid w:val="0AE512A1"/>
    <w:rsid w:val="0AF04643"/>
    <w:rsid w:val="0AF30389"/>
    <w:rsid w:val="0AF671E5"/>
    <w:rsid w:val="0AF72944"/>
    <w:rsid w:val="0B000AD2"/>
    <w:rsid w:val="0B021A56"/>
    <w:rsid w:val="0B02517F"/>
    <w:rsid w:val="0B046C54"/>
    <w:rsid w:val="0B0F510A"/>
    <w:rsid w:val="0B1017B0"/>
    <w:rsid w:val="0B1027B8"/>
    <w:rsid w:val="0B1B5563"/>
    <w:rsid w:val="0B297F03"/>
    <w:rsid w:val="0B2C7C16"/>
    <w:rsid w:val="0B362C8C"/>
    <w:rsid w:val="0B3B086A"/>
    <w:rsid w:val="0B462052"/>
    <w:rsid w:val="0B503799"/>
    <w:rsid w:val="0B574A70"/>
    <w:rsid w:val="0B6260CE"/>
    <w:rsid w:val="0B631913"/>
    <w:rsid w:val="0B644EEC"/>
    <w:rsid w:val="0B65056F"/>
    <w:rsid w:val="0B710B0B"/>
    <w:rsid w:val="0B741914"/>
    <w:rsid w:val="0B75163E"/>
    <w:rsid w:val="0B771E60"/>
    <w:rsid w:val="0BA842A8"/>
    <w:rsid w:val="0BB8719D"/>
    <w:rsid w:val="0BCF6FFE"/>
    <w:rsid w:val="0BE97FD9"/>
    <w:rsid w:val="0BF27DBE"/>
    <w:rsid w:val="0BFC7615"/>
    <w:rsid w:val="0C064761"/>
    <w:rsid w:val="0C0F4204"/>
    <w:rsid w:val="0C12051C"/>
    <w:rsid w:val="0C134DDF"/>
    <w:rsid w:val="0C1E103C"/>
    <w:rsid w:val="0C234B4C"/>
    <w:rsid w:val="0C292FB9"/>
    <w:rsid w:val="0C310C41"/>
    <w:rsid w:val="0C314A68"/>
    <w:rsid w:val="0C5735C6"/>
    <w:rsid w:val="0C5F0020"/>
    <w:rsid w:val="0C6C3093"/>
    <w:rsid w:val="0C723F72"/>
    <w:rsid w:val="0C9823D7"/>
    <w:rsid w:val="0CA91022"/>
    <w:rsid w:val="0CA97B05"/>
    <w:rsid w:val="0CB358FD"/>
    <w:rsid w:val="0CB7505F"/>
    <w:rsid w:val="0CC60A2E"/>
    <w:rsid w:val="0CCB7A8E"/>
    <w:rsid w:val="0CD561EA"/>
    <w:rsid w:val="0CD97C60"/>
    <w:rsid w:val="0CDF697A"/>
    <w:rsid w:val="0CE02843"/>
    <w:rsid w:val="0CE86B22"/>
    <w:rsid w:val="0CF23DF7"/>
    <w:rsid w:val="0D10492C"/>
    <w:rsid w:val="0D146DA3"/>
    <w:rsid w:val="0D1B1383"/>
    <w:rsid w:val="0D1B66DF"/>
    <w:rsid w:val="0D253C3D"/>
    <w:rsid w:val="0D2A55F6"/>
    <w:rsid w:val="0D2C2174"/>
    <w:rsid w:val="0D322562"/>
    <w:rsid w:val="0D387F9E"/>
    <w:rsid w:val="0D3F56C6"/>
    <w:rsid w:val="0D40707F"/>
    <w:rsid w:val="0D4263E3"/>
    <w:rsid w:val="0D430686"/>
    <w:rsid w:val="0D46003A"/>
    <w:rsid w:val="0D462402"/>
    <w:rsid w:val="0D520D1C"/>
    <w:rsid w:val="0D5D5317"/>
    <w:rsid w:val="0D6214AA"/>
    <w:rsid w:val="0D635BFB"/>
    <w:rsid w:val="0D650716"/>
    <w:rsid w:val="0D656407"/>
    <w:rsid w:val="0D701080"/>
    <w:rsid w:val="0D73034B"/>
    <w:rsid w:val="0D764DA3"/>
    <w:rsid w:val="0D7847BF"/>
    <w:rsid w:val="0D80672E"/>
    <w:rsid w:val="0D887E9D"/>
    <w:rsid w:val="0D8F17F7"/>
    <w:rsid w:val="0D923B5D"/>
    <w:rsid w:val="0D99741F"/>
    <w:rsid w:val="0D9C5995"/>
    <w:rsid w:val="0DB27F8D"/>
    <w:rsid w:val="0DB336AE"/>
    <w:rsid w:val="0DBA4826"/>
    <w:rsid w:val="0DC32859"/>
    <w:rsid w:val="0DC87269"/>
    <w:rsid w:val="0DD372EE"/>
    <w:rsid w:val="0DD95D1A"/>
    <w:rsid w:val="0DDA2FAB"/>
    <w:rsid w:val="0DF34585"/>
    <w:rsid w:val="0DF440A5"/>
    <w:rsid w:val="0E0478FE"/>
    <w:rsid w:val="0E0779ED"/>
    <w:rsid w:val="0E097C56"/>
    <w:rsid w:val="0E0B62EC"/>
    <w:rsid w:val="0E1409F6"/>
    <w:rsid w:val="0E185C00"/>
    <w:rsid w:val="0E190880"/>
    <w:rsid w:val="0E216251"/>
    <w:rsid w:val="0E3A19F6"/>
    <w:rsid w:val="0E401A3F"/>
    <w:rsid w:val="0E492A8B"/>
    <w:rsid w:val="0E4E73A6"/>
    <w:rsid w:val="0E4F6BE7"/>
    <w:rsid w:val="0E527771"/>
    <w:rsid w:val="0E560B0C"/>
    <w:rsid w:val="0E5C6C84"/>
    <w:rsid w:val="0E60438A"/>
    <w:rsid w:val="0E6F0606"/>
    <w:rsid w:val="0E7E0E7A"/>
    <w:rsid w:val="0E8B67DF"/>
    <w:rsid w:val="0E8C5F59"/>
    <w:rsid w:val="0E931A10"/>
    <w:rsid w:val="0E99095B"/>
    <w:rsid w:val="0E991FC8"/>
    <w:rsid w:val="0E9D0CFE"/>
    <w:rsid w:val="0E9F662F"/>
    <w:rsid w:val="0EAF47C9"/>
    <w:rsid w:val="0EB54C1D"/>
    <w:rsid w:val="0EB9159E"/>
    <w:rsid w:val="0EBB18F5"/>
    <w:rsid w:val="0EBD5669"/>
    <w:rsid w:val="0EC07B76"/>
    <w:rsid w:val="0ED06ED6"/>
    <w:rsid w:val="0EDB47F9"/>
    <w:rsid w:val="0EE16833"/>
    <w:rsid w:val="0EE544BC"/>
    <w:rsid w:val="0EE91BD0"/>
    <w:rsid w:val="0EF17E59"/>
    <w:rsid w:val="0EF27591"/>
    <w:rsid w:val="0EF56A7A"/>
    <w:rsid w:val="0EF77ED2"/>
    <w:rsid w:val="0EFD19D3"/>
    <w:rsid w:val="0F00061D"/>
    <w:rsid w:val="0F01067F"/>
    <w:rsid w:val="0F017E79"/>
    <w:rsid w:val="0F0877BF"/>
    <w:rsid w:val="0F0B2255"/>
    <w:rsid w:val="0F102FF6"/>
    <w:rsid w:val="0F1B26AA"/>
    <w:rsid w:val="0F221168"/>
    <w:rsid w:val="0F2338CD"/>
    <w:rsid w:val="0F276511"/>
    <w:rsid w:val="0F293699"/>
    <w:rsid w:val="0F2A1F1C"/>
    <w:rsid w:val="0F31014B"/>
    <w:rsid w:val="0F3C741E"/>
    <w:rsid w:val="0F3F1AA3"/>
    <w:rsid w:val="0F4147AA"/>
    <w:rsid w:val="0F424491"/>
    <w:rsid w:val="0F457F56"/>
    <w:rsid w:val="0F4A7A0E"/>
    <w:rsid w:val="0F4B30C3"/>
    <w:rsid w:val="0F4B6ADE"/>
    <w:rsid w:val="0F5F6482"/>
    <w:rsid w:val="0F6257A7"/>
    <w:rsid w:val="0F6312FE"/>
    <w:rsid w:val="0F632601"/>
    <w:rsid w:val="0F68619B"/>
    <w:rsid w:val="0F6D4EDC"/>
    <w:rsid w:val="0F7029A5"/>
    <w:rsid w:val="0F73799F"/>
    <w:rsid w:val="0F742648"/>
    <w:rsid w:val="0F757978"/>
    <w:rsid w:val="0F762F08"/>
    <w:rsid w:val="0F787C72"/>
    <w:rsid w:val="0F816B59"/>
    <w:rsid w:val="0F825E34"/>
    <w:rsid w:val="0F827943"/>
    <w:rsid w:val="0F871629"/>
    <w:rsid w:val="0F872C7B"/>
    <w:rsid w:val="0F896A3D"/>
    <w:rsid w:val="0F8E03AD"/>
    <w:rsid w:val="0F8F5271"/>
    <w:rsid w:val="0F931C43"/>
    <w:rsid w:val="0F9C6C84"/>
    <w:rsid w:val="0F9E7869"/>
    <w:rsid w:val="0F9F0660"/>
    <w:rsid w:val="0FA30A65"/>
    <w:rsid w:val="0FA638D0"/>
    <w:rsid w:val="0FA6699B"/>
    <w:rsid w:val="0FA734B6"/>
    <w:rsid w:val="0FAC4C5F"/>
    <w:rsid w:val="0FAE222B"/>
    <w:rsid w:val="0FBA3C16"/>
    <w:rsid w:val="0FC71A18"/>
    <w:rsid w:val="0FCA6D90"/>
    <w:rsid w:val="0FCB694E"/>
    <w:rsid w:val="0FCC0ECD"/>
    <w:rsid w:val="0FDA7A1E"/>
    <w:rsid w:val="0FDB4117"/>
    <w:rsid w:val="0FE4125C"/>
    <w:rsid w:val="0FED1B36"/>
    <w:rsid w:val="0FEE11EB"/>
    <w:rsid w:val="0FF26288"/>
    <w:rsid w:val="0FFD3613"/>
    <w:rsid w:val="100375EA"/>
    <w:rsid w:val="100F76B2"/>
    <w:rsid w:val="10132444"/>
    <w:rsid w:val="101652DA"/>
    <w:rsid w:val="10233970"/>
    <w:rsid w:val="102E5A82"/>
    <w:rsid w:val="10350487"/>
    <w:rsid w:val="10487F14"/>
    <w:rsid w:val="104D7DDD"/>
    <w:rsid w:val="10510BB4"/>
    <w:rsid w:val="10553829"/>
    <w:rsid w:val="10572EAB"/>
    <w:rsid w:val="1058444F"/>
    <w:rsid w:val="105B78C1"/>
    <w:rsid w:val="105B7B38"/>
    <w:rsid w:val="105D364F"/>
    <w:rsid w:val="105F5D4B"/>
    <w:rsid w:val="1082073D"/>
    <w:rsid w:val="108762E3"/>
    <w:rsid w:val="1093391B"/>
    <w:rsid w:val="10981DEE"/>
    <w:rsid w:val="10A02E94"/>
    <w:rsid w:val="10A122E9"/>
    <w:rsid w:val="10A23AA0"/>
    <w:rsid w:val="10A53AE4"/>
    <w:rsid w:val="10AD74E2"/>
    <w:rsid w:val="10CA3F92"/>
    <w:rsid w:val="10D04743"/>
    <w:rsid w:val="10D2199F"/>
    <w:rsid w:val="10D515F7"/>
    <w:rsid w:val="10DC4C65"/>
    <w:rsid w:val="10DD337B"/>
    <w:rsid w:val="10EF2A55"/>
    <w:rsid w:val="10F11ABD"/>
    <w:rsid w:val="10F22524"/>
    <w:rsid w:val="10F3162D"/>
    <w:rsid w:val="10F601A0"/>
    <w:rsid w:val="10F722E5"/>
    <w:rsid w:val="1109346B"/>
    <w:rsid w:val="110F20FC"/>
    <w:rsid w:val="11115304"/>
    <w:rsid w:val="11125E92"/>
    <w:rsid w:val="1114277A"/>
    <w:rsid w:val="11155183"/>
    <w:rsid w:val="1122342A"/>
    <w:rsid w:val="11345235"/>
    <w:rsid w:val="11390627"/>
    <w:rsid w:val="113B1A9F"/>
    <w:rsid w:val="114231A0"/>
    <w:rsid w:val="11431994"/>
    <w:rsid w:val="114535BD"/>
    <w:rsid w:val="114626A4"/>
    <w:rsid w:val="11542EE3"/>
    <w:rsid w:val="11562463"/>
    <w:rsid w:val="115F2F21"/>
    <w:rsid w:val="115F33DA"/>
    <w:rsid w:val="11673155"/>
    <w:rsid w:val="116A324B"/>
    <w:rsid w:val="116A79D3"/>
    <w:rsid w:val="11701CDB"/>
    <w:rsid w:val="117E2CF3"/>
    <w:rsid w:val="118440E5"/>
    <w:rsid w:val="118C4B16"/>
    <w:rsid w:val="11A552BC"/>
    <w:rsid w:val="11B4267D"/>
    <w:rsid w:val="11B538DD"/>
    <w:rsid w:val="11CE4306"/>
    <w:rsid w:val="11D45B7F"/>
    <w:rsid w:val="11E2607E"/>
    <w:rsid w:val="11E519F6"/>
    <w:rsid w:val="11E64EAE"/>
    <w:rsid w:val="11E965A4"/>
    <w:rsid w:val="11EB1E92"/>
    <w:rsid w:val="11FE098D"/>
    <w:rsid w:val="12030C47"/>
    <w:rsid w:val="12070C24"/>
    <w:rsid w:val="120F2883"/>
    <w:rsid w:val="12113EC8"/>
    <w:rsid w:val="121511E1"/>
    <w:rsid w:val="121919FD"/>
    <w:rsid w:val="1227643D"/>
    <w:rsid w:val="12332ADB"/>
    <w:rsid w:val="124B55A3"/>
    <w:rsid w:val="124F79ED"/>
    <w:rsid w:val="1262481B"/>
    <w:rsid w:val="12656C5D"/>
    <w:rsid w:val="12697F69"/>
    <w:rsid w:val="126E36B9"/>
    <w:rsid w:val="126F29F9"/>
    <w:rsid w:val="1272371D"/>
    <w:rsid w:val="12727EA3"/>
    <w:rsid w:val="1296227B"/>
    <w:rsid w:val="129B7C86"/>
    <w:rsid w:val="12A02CA2"/>
    <w:rsid w:val="12A04610"/>
    <w:rsid w:val="12A26F1C"/>
    <w:rsid w:val="12A35EAF"/>
    <w:rsid w:val="12A52D62"/>
    <w:rsid w:val="12B56F66"/>
    <w:rsid w:val="12BA2AFA"/>
    <w:rsid w:val="12BB176F"/>
    <w:rsid w:val="12BD048C"/>
    <w:rsid w:val="12C143EC"/>
    <w:rsid w:val="12CA68C6"/>
    <w:rsid w:val="12D32CB2"/>
    <w:rsid w:val="12D40754"/>
    <w:rsid w:val="12D420DC"/>
    <w:rsid w:val="12D561AD"/>
    <w:rsid w:val="12D76873"/>
    <w:rsid w:val="12DE6603"/>
    <w:rsid w:val="12E65AC4"/>
    <w:rsid w:val="12E961AA"/>
    <w:rsid w:val="12EF51C5"/>
    <w:rsid w:val="12F6691D"/>
    <w:rsid w:val="12F84C1D"/>
    <w:rsid w:val="12FB2934"/>
    <w:rsid w:val="12FB7C2C"/>
    <w:rsid w:val="12FC6645"/>
    <w:rsid w:val="130174CE"/>
    <w:rsid w:val="1304114E"/>
    <w:rsid w:val="13086700"/>
    <w:rsid w:val="13141389"/>
    <w:rsid w:val="13255F77"/>
    <w:rsid w:val="132D2A35"/>
    <w:rsid w:val="133948B1"/>
    <w:rsid w:val="133A41A3"/>
    <w:rsid w:val="133E5700"/>
    <w:rsid w:val="13406269"/>
    <w:rsid w:val="134263B4"/>
    <w:rsid w:val="13535F61"/>
    <w:rsid w:val="13563334"/>
    <w:rsid w:val="13607E49"/>
    <w:rsid w:val="136E4D94"/>
    <w:rsid w:val="13712A49"/>
    <w:rsid w:val="13816D08"/>
    <w:rsid w:val="138345BD"/>
    <w:rsid w:val="13867239"/>
    <w:rsid w:val="13876DA6"/>
    <w:rsid w:val="1388693D"/>
    <w:rsid w:val="13896062"/>
    <w:rsid w:val="139132DF"/>
    <w:rsid w:val="139252C2"/>
    <w:rsid w:val="139549AD"/>
    <w:rsid w:val="13A94B49"/>
    <w:rsid w:val="13AA017A"/>
    <w:rsid w:val="13C55DF8"/>
    <w:rsid w:val="13C90D2B"/>
    <w:rsid w:val="13C93BC4"/>
    <w:rsid w:val="13CF471A"/>
    <w:rsid w:val="13D3726E"/>
    <w:rsid w:val="13E311B8"/>
    <w:rsid w:val="13E56430"/>
    <w:rsid w:val="13EC7833"/>
    <w:rsid w:val="13EF150C"/>
    <w:rsid w:val="13F20B8A"/>
    <w:rsid w:val="13FF2836"/>
    <w:rsid w:val="14052DF6"/>
    <w:rsid w:val="140908D1"/>
    <w:rsid w:val="14105477"/>
    <w:rsid w:val="141F73B5"/>
    <w:rsid w:val="14397C24"/>
    <w:rsid w:val="1443196A"/>
    <w:rsid w:val="14582261"/>
    <w:rsid w:val="145B0724"/>
    <w:rsid w:val="145F04F1"/>
    <w:rsid w:val="145F6743"/>
    <w:rsid w:val="14615207"/>
    <w:rsid w:val="14627761"/>
    <w:rsid w:val="146C1430"/>
    <w:rsid w:val="14775451"/>
    <w:rsid w:val="147A00C5"/>
    <w:rsid w:val="148149C1"/>
    <w:rsid w:val="148C7130"/>
    <w:rsid w:val="148D6D03"/>
    <w:rsid w:val="14953347"/>
    <w:rsid w:val="149D101A"/>
    <w:rsid w:val="149F617D"/>
    <w:rsid w:val="14A132C7"/>
    <w:rsid w:val="14B54862"/>
    <w:rsid w:val="14BE22AA"/>
    <w:rsid w:val="14CF3B54"/>
    <w:rsid w:val="14D558B8"/>
    <w:rsid w:val="14E54253"/>
    <w:rsid w:val="14EA0703"/>
    <w:rsid w:val="14ED5788"/>
    <w:rsid w:val="14F17B58"/>
    <w:rsid w:val="14F2091A"/>
    <w:rsid w:val="14FD3984"/>
    <w:rsid w:val="150149C9"/>
    <w:rsid w:val="150360DB"/>
    <w:rsid w:val="1509095F"/>
    <w:rsid w:val="150E1674"/>
    <w:rsid w:val="150E4813"/>
    <w:rsid w:val="151B1C84"/>
    <w:rsid w:val="15250072"/>
    <w:rsid w:val="15254676"/>
    <w:rsid w:val="1528164E"/>
    <w:rsid w:val="152A280E"/>
    <w:rsid w:val="152C21D6"/>
    <w:rsid w:val="15357178"/>
    <w:rsid w:val="153C4C8A"/>
    <w:rsid w:val="153E7735"/>
    <w:rsid w:val="15412905"/>
    <w:rsid w:val="1549373C"/>
    <w:rsid w:val="154C316C"/>
    <w:rsid w:val="154C5BF3"/>
    <w:rsid w:val="15556C08"/>
    <w:rsid w:val="155F12D5"/>
    <w:rsid w:val="156A2CE4"/>
    <w:rsid w:val="15720C2E"/>
    <w:rsid w:val="1577005E"/>
    <w:rsid w:val="157C4041"/>
    <w:rsid w:val="157D670E"/>
    <w:rsid w:val="1587023B"/>
    <w:rsid w:val="15897F1C"/>
    <w:rsid w:val="1594272D"/>
    <w:rsid w:val="15976ECE"/>
    <w:rsid w:val="1598495D"/>
    <w:rsid w:val="159C6468"/>
    <w:rsid w:val="15A07E57"/>
    <w:rsid w:val="15A869BA"/>
    <w:rsid w:val="15A92C81"/>
    <w:rsid w:val="15A94E06"/>
    <w:rsid w:val="15AC3C0A"/>
    <w:rsid w:val="15B37ED3"/>
    <w:rsid w:val="15B82967"/>
    <w:rsid w:val="15C0387C"/>
    <w:rsid w:val="15C85A39"/>
    <w:rsid w:val="15C95189"/>
    <w:rsid w:val="15CE1792"/>
    <w:rsid w:val="15D435D1"/>
    <w:rsid w:val="15D66E00"/>
    <w:rsid w:val="15DB2582"/>
    <w:rsid w:val="15E60743"/>
    <w:rsid w:val="15EA48B4"/>
    <w:rsid w:val="15ED7BB5"/>
    <w:rsid w:val="15EF5238"/>
    <w:rsid w:val="15F94D16"/>
    <w:rsid w:val="1605779C"/>
    <w:rsid w:val="160F79BE"/>
    <w:rsid w:val="161C0038"/>
    <w:rsid w:val="16221A3B"/>
    <w:rsid w:val="163835D5"/>
    <w:rsid w:val="163867C1"/>
    <w:rsid w:val="163C5135"/>
    <w:rsid w:val="163E5E46"/>
    <w:rsid w:val="164E26E2"/>
    <w:rsid w:val="164F26E9"/>
    <w:rsid w:val="165112C8"/>
    <w:rsid w:val="16515AEA"/>
    <w:rsid w:val="1652746F"/>
    <w:rsid w:val="165362AA"/>
    <w:rsid w:val="16783AEC"/>
    <w:rsid w:val="167A1613"/>
    <w:rsid w:val="168410A2"/>
    <w:rsid w:val="16910E57"/>
    <w:rsid w:val="169E2222"/>
    <w:rsid w:val="16A14392"/>
    <w:rsid w:val="16A32450"/>
    <w:rsid w:val="16A960C1"/>
    <w:rsid w:val="16AA56CA"/>
    <w:rsid w:val="16AC00B4"/>
    <w:rsid w:val="16B17832"/>
    <w:rsid w:val="16B50693"/>
    <w:rsid w:val="16B9557F"/>
    <w:rsid w:val="16BE2A80"/>
    <w:rsid w:val="16CE0815"/>
    <w:rsid w:val="16D927DD"/>
    <w:rsid w:val="16E050A1"/>
    <w:rsid w:val="16E30ECB"/>
    <w:rsid w:val="16E559D3"/>
    <w:rsid w:val="16E62C49"/>
    <w:rsid w:val="16E67731"/>
    <w:rsid w:val="16EA1297"/>
    <w:rsid w:val="17017F86"/>
    <w:rsid w:val="17024F1A"/>
    <w:rsid w:val="171253EB"/>
    <w:rsid w:val="17176229"/>
    <w:rsid w:val="171D1997"/>
    <w:rsid w:val="17263357"/>
    <w:rsid w:val="172E6BC9"/>
    <w:rsid w:val="17306729"/>
    <w:rsid w:val="174D266D"/>
    <w:rsid w:val="175232C7"/>
    <w:rsid w:val="175238C9"/>
    <w:rsid w:val="175331C1"/>
    <w:rsid w:val="17581582"/>
    <w:rsid w:val="175B52A2"/>
    <w:rsid w:val="17654AE5"/>
    <w:rsid w:val="176A7EE7"/>
    <w:rsid w:val="1770743A"/>
    <w:rsid w:val="17756AC0"/>
    <w:rsid w:val="177929EE"/>
    <w:rsid w:val="17860356"/>
    <w:rsid w:val="1786208D"/>
    <w:rsid w:val="17886264"/>
    <w:rsid w:val="1795479C"/>
    <w:rsid w:val="17A24FB7"/>
    <w:rsid w:val="17AF42BB"/>
    <w:rsid w:val="17B05E31"/>
    <w:rsid w:val="17B66DDD"/>
    <w:rsid w:val="17BB1EE3"/>
    <w:rsid w:val="17BB3A7D"/>
    <w:rsid w:val="17BF667B"/>
    <w:rsid w:val="17D17958"/>
    <w:rsid w:val="17F02B33"/>
    <w:rsid w:val="17F71C63"/>
    <w:rsid w:val="17FE0021"/>
    <w:rsid w:val="180103A9"/>
    <w:rsid w:val="18024402"/>
    <w:rsid w:val="180D1B51"/>
    <w:rsid w:val="18323343"/>
    <w:rsid w:val="183C589F"/>
    <w:rsid w:val="18427B58"/>
    <w:rsid w:val="18506ACF"/>
    <w:rsid w:val="18591F00"/>
    <w:rsid w:val="187173C2"/>
    <w:rsid w:val="187C4AD3"/>
    <w:rsid w:val="18891D29"/>
    <w:rsid w:val="188F2E51"/>
    <w:rsid w:val="189A3E92"/>
    <w:rsid w:val="18A0293C"/>
    <w:rsid w:val="18C63AE4"/>
    <w:rsid w:val="18C94AD3"/>
    <w:rsid w:val="18CD3FE7"/>
    <w:rsid w:val="18D152E6"/>
    <w:rsid w:val="18D80D74"/>
    <w:rsid w:val="18DD042B"/>
    <w:rsid w:val="18E45469"/>
    <w:rsid w:val="18E65FE7"/>
    <w:rsid w:val="18FC20B4"/>
    <w:rsid w:val="190862A8"/>
    <w:rsid w:val="190E5845"/>
    <w:rsid w:val="19105A5E"/>
    <w:rsid w:val="19143E21"/>
    <w:rsid w:val="191C5BFC"/>
    <w:rsid w:val="191D0FDC"/>
    <w:rsid w:val="19231DF7"/>
    <w:rsid w:val="192B1277"/>
    <w:rsid w:val="19334337"/>
    <w:rsid w:val="193D5549"/>
    <w:rsid w:val="194801AD"/>
    <w:rsid w:val="19612140"/>
    <w:rsid w:val="196B30DE"/>
    <w:rsid w:val="197424B7"/>
    <w:rsid w:val="19781061"/>
    <w:rsid w:val="197A3F66"/>
    <w:rsid w:val="197C64BB"/>
    <w:rsid w:val="198A4538"/>
    <w:rsid w:val="198E178B"/>
    <w:rsid w:val="19982BB9"/>
    <w:rsid w:val="19A048A8"/>
    <w:rsid w:val="19A32916"/>
    <w:rsid w:val="19AD4652"/>
    <w:rsid w:val="19B95896"/>
    <w:rsid w:val="19C07C84"/>
    <w:rsid w:val="19C72E75"/>
    <w:rsid w:val="19C770F6"/>
    <w:rsid w:val="19DE635C"/>
    <w:rsid w:val="19E065CC"/>
    <w:rsid w:val="19E06C7F"/>
    <w:rsid w:val="19F41847"/>
    <w:rsid w:val="19F50162"/>
    <w:rsid w:val="19F54CFC"/>
    <w:rsid w:val="19FB1B06"/>
    <w:rsid w:val="19FE49C9"/>
    <w:rsid w:val="1A0029E1"/>
    <w:rsid w:val="1A1A2B78"/>
    <w:rsid w:val="1A260DA7"/>
    <w:rsid w:val="1A3C38FB"/>
    <w:rsid w:val="1A420B3D"/>
    <w:rsid w:val="1A430C89"/>
    <w:rsid w:val="1A4C15F3"/>
    <w:rsid w:val="1A4E2512"/>
    <w:rsid w:val="1A5341F3"/>
    <w:rsid w:val="1A560040"/>
    <w:rsid w:val="1A5714D0"/>
    <w:rsid w:val="1A5C425E"/>
    <w:rsid w:val="1A5C5A7B"/>
    <w:rsid w:val="1A652EA3"/>
    <w:rsid w:val="1A691ED5"/>
    <w:rsid w:val="1A7C2F0B"/>
    <w:rsid w:val="1A825F33"/>
    <w:rsid w:val="1A9F5558"/>
    <w:rsid w:val="1AA20AD3"/>
    <w:rsid w:val="1AB808E4"/>
    <w:rsid w:val="1AC1095E"/>
    <w:rsid w:val="1AC25203"/>
    <w:rsid w:val="1AC310AC"/>
    <w:rsid w:val="1AC53F23"/>
    <w:rsid w:val="1ACA7B02"/>
    <w:rsid w:val="1AD34DE7"/>
    <w:rsid w:val="1AD9025D"/>
    <w:rsid w:val="1AE37B9C"/>
    <w:rsid w:val="1AE42C07"/>
    <w:rsid w:val="1AE45ED2"/>
    <w:rsid w:val="1AE83DC2"/>
    <w:rsid w:val="1AEF6A73"/>
    <w:rsid w:val="1AF94A08"/>
    <w:rsid w:val="1B03198D"/>
    <w:rsid w:val="1B047AF9"/>
    <w:rsid w:val="1B106130"/>
    <w:rsid w:val="1B1113BB"/>
    <w:rsid w:val="1B12400D"/>
    <w:rsid w:val="1B13788E"/>
    <w:rsid w:val="1B177D78"/>
    <w:rsid w:val="1B242CC8"/>
    <w:rsid w:val="1B252495"/>
    <w:rsid w:val="1B274E63"/>
    <w:rsid w:val="1B2D5129"/>
    <w:rsid w:val="1B416DB6"/>
    <w:rsid w:val="1B497FA3"/>
    <w:rsid w:val="1B4A02FA"/>
    <w:rsid w:val="1B505C88"/>
    <w:rsid w:val="1B6246B4"/>
    <w:rsid w:val="1B6732B8"/>
    <w:rsid w:val="1B782A4E"/>
    <w:rsid w:val="1B7E7CEF"/>
    <w:rsid w:val="1B895248"/>
    <w:rsid w:val="1B8A6EB3"/>
    <w:rsid w:val="1B9843F0"/>
    <w:rsid w:val="1B9A4088"/>
    <w:rsid w:val="1BCB46BE"/>
    <w:rsid w:val="1BCD5909"/>
    <w:rsid w:val="1BD425B4"/>
    <w:rsid w:val="1BD861A6"/>
    <w:rsid w:val="1BE2449B"/>
    <w:rsid w:val="1BEA4A5E"/>
    <w:rsid w:val="1BF1078A"/>
    <w:rsid w:val="1BF64C72"/>
    <w:rsid w:val="1BF710F8"/>
    <w:rsid w:val="1C013158"/>
    <w:rsid w:val="1C0530DB"/>
    <w:rsid w:val="1C1A3302"/>
    <w:rsid w:val="1C1B13B1"/>
    <w:rsid w:val="1C1D028B"/>
    <w:rsid w:val="1C2458D7"/>
    <w:rsid w:val="1C253CB0"/>
    <w:rsid w:val="1C27204C"/>
    <w:rsid w:val="1C284F32"/>
    <w:rsid w:val="1C2873C8"/>
    <w:rsid w:val="1C2F35A0"/>
    <w:rsid w:val="1C34586E"/>
    <w:rsid w:val="1C367891"/>
    <w:rsid w:val="1C3757A5"/>
    <w:rsid w:val="1C4442FD"/>
    <w:rsid w:val="1C4471C7"/>
    <w:rsid w:val="1C4C170E"/>
    <w:rsid w:val="1C4F7BB9"/>
    <w:rsid w:val="1C544947"/>
    <w:rsid w:val="1C594C32"/>
    <w:rsid w:val="1C772193"/>
    <w:rsid w:val="1C7C02A6"/>
    <w:rsid w:val="1C7E2235"/>
    <w:rsid w:val="1C8E2F1E"/>
    <w:rsid w:val="1C930E5B"/>
    <w:rsid w:val="1C971974"/>
    <w:rsid w:val="1CA30660"/>
    <w:rsid w:val="1CA80B6B"/>
    <w:rsid w:val="1CB638A1"/>
    <w:rsid w:val="1CBF2077"/>
    <w:rsid w:val="1CC25BEF"/>
    <w:rsid w:val="1CC6053E"/>
    <w:rsid w:val="1CC76293"/>
    <w:rsid w:val="1CDC4305"/>
    <w:rsid w:val="1CDE61E5"/>
    <w:rsid w:val="1CDF2896"/>
    <w:rsid w:val="1CE00363"/>
    <w:rsid w:val="1CE15F51"/>
    <w:rsid w:val="1CE5670D"/>
    <w:rsid w:val="1CE739E1"/>
    <w:rsid w:val="1CF7134C"/>
    <w:rsid w:val="1CFF7E94"/>
    <w:rsid w:val="1D0D1432"/>
    <w:rsid w:val="1D121334"/>
    <w:rsid w:val="1D1A2542"/>
    <w:rsid w:val="1D1F7874"/>
    <w:rsid w:val="1D201B97"/>
    <w:rsid w:val="1D2577F5"/>
    <w:rsid w:val="1D280DAB"/>
    <w:rsid w:val="1D2A5287"/>
    <w:rsid w:val="1D2E2C7F"/>
    <w:rsid w:val="1D3D5E68"/>
    <w:rsid w:val="1D3F34F7"/>
    <w:rsid w:val="1D444B98"/>
    <w:rsid w:val="1D4F3099"/>
    <w:rsid w:val="1D582FEF"/>
    <w:rsid w:val="1D5E4B8E"/>
    <w:rsid w:val="1D6664A0"/>
    <w:rsid w:val="1D6A7DFA"/>
    <w:rsid w:val="1D707212"/>
    <w:rsid w:val="1D715D71"/>
    <w:rsid w:val="1D7C5B03"/>
    <w:rsid w:val="1D7F6FC6"/>
    <w:rsid w:val="1D81752A"/>
    <w:rsid w:val="1DA126D6"/>
    <w:rsid w:val="1DA17DCD"/>
    <w:rsid w:val="1DA54ADF"/>
    <w:rsid w:val="1DA74591"/>
    <w:rsid w:val="1DA906BB"/>
    <w:rsid w:val="1DAD15A7"/>
    <w:rsid w:val="1DB37776"/>
    <w:rsid w:val="1DB93368"/>
    <w:rsid w:val="1DBA24FA"/>
    <w:rsid w:val="1DBD4D6B"/>
    <w:rsid w:val="1DC13BED"/>
    <w:rsid w:val="1DC906D3"/>
    <w:rsid w:val="1DD22379"/>
    <w:rsid w:val="1DDA4082"/>
    <w:rsid w:val="1DDE17CF"/>
    <w:rsid w:val="1DE745B6"/>
    <w:rsid w:val="1DED1B89"/>
    <w:rsid w:val="1DEF60C0"/>
    <w:rsid w:val="1E0B0EAF"/>
    <w:rsid w:val="1E123C12"/>
    <w:rsid w:val="1E1A3293"/>
    <w:rsid w:val="1E1B192D"/>
    <w:rsid w:val="1E1F1E80"/>
    <w:rsid w:val="1E2002FE"/>
    <w:rsid w:val="1E211D03"/>
    <w:rsid w:val="1E232901"/>
    <w:rsid w:val="1E3F521E"/>
    <w:rsid w:val="1E460BBC"/>
    <w:rsid w:val="1E48084A"/>
    <w:rsid w:val="1E586D91"/>
    <w:rsid w:val="1E597056"/>
    <w:rsid w:val="1E5E0205"/>
    <w:rsid w:val="1E5E1153"/>
    <w:rsid w:val="1E6F0035"/>
    <w:rsid w:val="1E78039F"/>
    <w:rsid w:val="1E7A2AF8"/>
    <w:rsid w:val="1E7C1B0F"/>
    <w:rsid w:val="1E83613B"/>
    <w:rsid w:val="1E843235"/>
    <w:rsid w:val="1E87782B"/>
    <w:rsid w:val="1E8A18A1"/>
    <w:rsid w:val="1E8A7676"/>
    <w:rsid w:val="1E9213F1"/>
    <w:rsid w:val="1E9D084E"/>
    <w:rsid w:val="1E9E1211"/>
    <w:rsid w:val="1EA71B9E"/>
    <w:rsid w:val="1EB57EBC"/>
    <w:rsid w:val="1EBA3734"/>
    <w:rsid w:val="1EBB603E"/>
    <w:rsid w:val="1EC3611C"/>
    <w:rsid w:val="1ECB3353"/>
    <w:rsid w:val="1ECD1376"/>
    <w:rsid w:val="1ED363F4"/>
    <w:rsid w:val="1ED41F07"/>
    <w:rsid w:val="1EDA223F"/>
    <w:rsid w:val="1EE53902"/>
    <w:rsid w:val="1EF149CF"/>
    <w:rsid w:val="1EFB6CFC"/>
    <w:rsid w:val="1EFC4C0E"/>
    <w:rsid w:val="1F043D9A"/>
    <w:rsid w:val="1F052D92"/>
    <w:rsid w:val="1F05453E"/>
    <w:rsid w:val="1F085F5C"/>
    <w:rsid w:val="1F0B0FB6"/>
    <w:rsid w:val="1F0B19A2"/>
    <w:rsid w:val="1F104F2F"/>
    <w:rsid w:val="1F162C7F"/>
    <w:rsid w:val="1F1679B8"/>
    <w:rsid w:val="1F190E5D"/>
    <w:rsid w:val="1F1B712E"/>
    <w:rsid w:val="1F1C067A"/>
    <w:rsid w:val="1F200122"/>
    <w:rsid w:val="1F294D32"/>
    <w:rsid w:val="1F30633A"/>
    <w:rsid w:val="1F341F4C"/>
    <w:rsid w:val="1F383CD5"/>
    <w:rsid w:val="1F3905A9"/>
    <w:rsid w:val="1F3A07EE"/>
    <w:rsid w:val="1F3D3B25"/>
    <w:rsid w:val="1F3F1D34"/>
    <w:rsid w:val="1F560091"/>
    <w:rsid w:val="1F571DCF"/>
    <w:rsid w:val="1F594438"/>
    <w:rsid w:val="1F5C6AD6"/>
    <w:rsid w:val="1F6700B4"/>
    <w:rsid w:val="1F7058C8"/>
    <w:rsid w:val="1F7455D9"/>
    <w:rsid w:val="1F855E03"/>
    <w:rsid w:val="1F860096"/>
    <w:rsid w:val="1F8F2B1A"/>
    <w:rsid w:val="1F995718"/>
    <w:rsid w:val="1F9C0AEF"/>
    <w:rsid w:val="1FA31C31"/>
    <w:rsid w:val="1FA36BF7"/>
    <w:rsid w:val="1FB2775B"/>
    <w:rsid w:val="1FB70FFF"/>
    <w:rsid w:val="1FB950C6"/>
    <w:rsid w:val="1FBC76F9"/>
    <w:rsid w:val="1FC75528"/>
    <w:rsid w:val="1FC779EA"/>
    <w:rsid w:val="1FC837AA"/>
    <w:rsid w:val="1FCF6BF9"/>
    <w:rsid w:val="1FD84664"/>
    <w:rsid w:val="1FDA1983"/>
    <w:rsid w:val="1FE80A68"/>
    <w:rsid w:val="1FEB1241"/>
    <w:rsid w:val="1FEB6BB8"/>
    <w:rsid w:val="1FF97C50"/>
    <w:rsid w:val="200450CE"/>
    <w:rsid w:val="200F54C2"/>
    <w:rsid w:val="20113C58"/>
    <w:rsid w:val="201640C6"/>
    <w:rsid w:val="20171968"/>
    <w:rsid w:val="20190EC3"/>
    <w:rsid w:val="202514F0"/>
    <w:rsid w:val="202D11D4"/>
    <w:rsid w:val="20370E89"/>
    <w:rsid w:val="20395780"/>
    <w:rsid w:val="203A3479"/>
    <w:rsid w:val="203E2E84"/>
    <w:rsid w:val="204B2D9E"/>
    <w:rsid w:val="20520D18"/>
    <w:rsid w:val="20562080"/>
    <w:rsid w:val="205B24B5"/>
    <w:rsid w:val="2062112A"/>
    <w:rsid w:val="20636C28"/>
    <w:rsid w:val="206405EA"/>
    <w:rsid w:val="20651585"/>
    <w:rsid w:val="206722F5"/>
    <w:rsid w:val="20704250"/>
    <w:rsid w:val="20746F3D"/>
    <w:rsid w:val="207863E1"/>
    <w:rsid w:val="20802A8B"/>
    <w:rsid w:val="20883551"/>
    <w:rsid w:val="208A2D9A"/>
    <w:rsid w:val="209D1557"/>
    <w:rsid w:val="20A53730"/>
    <w:rsid w:val="20A64EAA"/>
    <w:rsid w:val="20A76B99"/>
    <w:rsid w:val="20B74403"/>
    <w:rsid w:val="20BF265C"/>
    <w:rsid w:val="20C1000E"/>
    <w:rsid w:val="20C249D5"/>
    <w:rsid w:val="20C56C2D"/>
    <w:rsid w:val="20CB3EE7"/>
    <w:rsid w:val="20D870F2"/>
    <w:rsid w:val="20DF273E"/>
    <w:rsid w:val="20E225B7"/>
    <w:rsid w:val="20E272FD"/>
    <w:rsid w:val="20E530BF"/>
    <w:rsid w:val="20F60AF1"/>
    <w:rsid w:val="20F9599D"/>
    <w:rsid w:val="20FF07DE"/>
    <w:rsid w:val="21031CAB"/>
    <w:rsid w:val="21053CC1"/>
    <w:rsid w:val="211E623A"/>
    <w:rsid w:val="212D7ADA"/>
    <w:rsid w:val="21301A16"/>
    <w:rsid w:val="21316869"/>
    <w:rsid w:val="2132017B"/>
    <w:rsid w:val="213E6240"/>
    <w:rsid w:val="2148667A"/>
    <w:rsid w:val="2149312A"/>
    <w:rsid w:val="21494EE0"/>
    <w:rsid w:val="21515A52"/>
    <w:rsid w:val="215B6E14"/>
    <w:rsid w:val="21676C37"/>
    <w:rsid w:val="21863848"/>
    <w:rsid w:val="218872DA"/>
    <w:rsid w:val="218C6838"/>
    <w:rsid w:val="218D3A88"/>
    <w:rsid w:val="21913550"/>
    <w:rsid w:val="21924EB4"/>
    <w:rsid w:val="21A23F59"/>
    <w:rsid w:val="21A3159E"/>
    <w:rsid w:val="21A71B4E"/>
    <w:rsid w:val="21B5727D"/>
    <w:rsid w:val="21B96FB0"/>
    <w:rsid w:val="21BC7FA1"/>
    <w:rsid w:val="21BF28FB"/>
    <w:rsid w:val="21C05DE2"/>
    <w:rsid w:val="21C53DEF"/>
    <w:rsid w:val="21E40B6E"/>
    <w:rsid w:val="21E74116"/>
    <w:rsid w:val="21EC3582"/>
    <w:rsid w:val="21ED7852"/>
    <w:rsid w:val="21FB6B28"/>
    <w:rsid w:val="21FC7193"/>
    <w:rsid w:val="22010A62"/>
    <w:rsid w:val="221218E3"/>
    <w:rsid w:val="221448AB"/>
    <w:rsid w:val="222A55BA"/>
    <w:rsid w:val="22314380"/>
    <w:rsid w:val="2231622A"/>
    <w:rsid w:val="223A627B"/>
    <w:rsid w:val="223B79FD"/>
    <w:rsid w:val="223D6D0C"/>
    <w:rsid w:val="22467566"/>
    <w:rsid w:val="224E2FC6"/>
    <w:rsid w:val="22724E2B"/>
    <w:rsid w:val="227925B3"/>
    <w:rsid w:val="2296661A"/>
    <w:rsid w:val="22B23238"/>
    <w:rsid w:val="22B61F0D"/>
    <w:rsid w:val="22C55FC7"/>
    <w:rsid w:val="22CE51C0"/>
    <w:rsid w:val="22D1721F"/>
    <w:rsid w:val="22D37EC6"/>
    <w:rsid w:val="22D7713F"/>
    <w:rsid w:val="22E62754"/>
    <w:rsid w:val="22F10EAE"/>
    <w:rsid w:val="22F22396"/>
    <w:rsid w:val="22F22423"/>
    <w:rsid w:val="22F62F57"/>
    <w:rsid w:val="22F75B9E"/>
    <w:rsid w:val="22FF4475"/>
    <w:rsid w:val="2300158A"/>
    <w:rsid w:val="23056708"/>
    <w:rsid w:val="230B2DC3"/>
    <w:rsid w:val="230C76D4"/>
    <w:rsid w:val="23106846"/>
    <w:rsid w:val="231A6EC5"/>
    <w:rsid w:val="231D049B"/>
    <w:rsid w:val="2322375E"/>
    <w:rsid w:val="2331780F"/>
    <w:rsid w:val="233F4C01"/>
    <w:rsid w:val="23415967"/>
    <w:rsid w:val="23486448"/>
    <w:rsid w:val="235176D4"/>
    <w:rsid w:val="23537007"/>
    <w:rsid w:val="23543267"/>
    <w:rsid w:val="235B32A1"/>
    <w:rsid w:val="236678AE"/>
    <w:rsid w:val="23695651"/>
    <w:rsid w:val="236D1B54"/>
    <w:rsid w:val="23751505"/>
    <w:rsid w:val="23777D14"/>
    <w:rsid w:val="237D4B32"/>
    <w:rsid w:val="238B0BD7"/>
    <w:rsid w:val="23923A71"/>
    <w:rsid w:val="23963411"/>
    <w:rsid w:val="239B00EF"/>
    <w:rsid w:val="239D1735"/>
    <w:rsid w:val="23A44173"/>
    <w:rsid w:val="23A7329F"/>
    <w:rsid w:val="23BB175D"/>
    <w:rsid w:val="23C36B6C"/>
    <w:rsid w:val="23C90C19"/>
    <w:rsid w:val="23D06D16"/>
    <w:rsid w:val="23D102A4"/>
    <w:rsid w:val="23D148AB"/>
    <w:rsid w:val="23D65670"/>
    <w:rsid w:val="23D717D2"/>
    <w:rsid w:val="23DC13B0"/>
    <w:rsid w:val="23E2392B"/>
    <w:rsid w:val="23EA6D27"/>
    <w:rsid w:val="23F11326"/>
    <w:rsid w:val="23F40932"/>
    <w:rsid w:val="23FD1E22"/>
    <w:rsid w:val="24097650"/>
    <w:rsid w:val="24146605"/>
    <w:rsid w:val="24154038"/>
    <w:rsid w:val="241970D0"/>
    <w:rsid w:val="24253E55"/>
    <w:rsid w:val="242C711A"/>
    <w:rsid w:val="242D57C5"/>
    <w:rsid w:val="24391CC4"/>
    <w:rsid w:val="243D5BAE"/>
    <w:rsid w:val="244D325D"/>
    <w:rsid w:val="24537CA2"/>
    <w:rsid w:val="24587B82"/>
    <w:rsid w:val="245B444F"/>
    <w:rsid w:val="245E02DF"/>
    <w:rsid w:val="2463254E"/>
    <w:rsid w:val="24645A19"/>
    <w:rsid w:val="24650E6E"/>
    <w:rsid w:val="246606AE"/>
    <w:rsid w:val="24756C32"/>
    <w:rsid w:val="24831D58"/>
    <w:rsid w:val="24850B20"/>
    <w:rsid w:val="248763BA"/>
    <w:rsid w:val="248C1FCE"/>
    <w:rsid w:val="248C2057"/>
    <w:rsid w:val="248E6C00"/>
    <w:rsid w:val="2494548A"/>
    <w:rsid w:val="249C1610"/>
    <w:rsid w:val="24A116C3"/>
    <w:rsid w:val="24AD50BB"/>
    <w:rsid w:val="24B45E72"/>
    <w:rsid w:val="24CA671E"/>
    <w:rsid w:val="24D31550"/>
    <w:rsid w:val="24D42836"/>
    <w:rsid w:val="24D769D3"/>
    <w:rsid w:val="24E25F70"/>
    <w:rsid w:val="24EB2827"/>
    <w:rsid w:val="24F01A95"/>
    <w:rsid w:val="24F476F3"/>
    <w:rsid w:val="25044F0F"/>
    <w:rsid w:val="250741CB"/>
    <w:rsid w:val="250D7AF6"/>
    <w:rsid w:val="25167722"/>
    <w:rsid w:val="251E627B"/>
    <w:rsid w:val="2529678E"/>
    <w:rsid w:val="252B65BD"/>
    <w:rsid w:val="252C30EA"/>
    <w:rsid w:val="25323855"/>
    <w:rsid w:val="253A3BAE"/>
    <w:rsid w:val="253B093A"/>
    <w:rsid w:val="253C3F78"/>
    <w:rsid w:val="253E4D43"/>
    <w:rsid w:val="25424A26"/>
    <w:rsid w:val="25452ABE"/>
    <w:rsid w:val="25462EF1"/>
    <w:rsid w:val="25473903"/>
    <w:rsid w:val="254C47A1"/>
    <w:rsid w:val="2552480D"/>
    <w:rsid w:val="25697F6A"/>
    <w:rsid w:val="257103B1"/>
    <w:rsid w:val="257F6E6A"/>
    <w:rsid w:val="258A1146"/>
    <w:rsid w:val="259A661E"/>
    <w:rsid w:val="259D021F"/>
    <w:rsid w:val="25A62424"/>
    <w:rsid w:val="25A722E0"/>
    <w:rsid w:val="25AC4B4F"/>
    <w:rsid w:val="25AE7098"/>
    <w:rsid w:val="25B72C27"/>
    <w:rsid w:val="25C91FE6"/>
    <w:rsid w:val="25CD16D0"/>
    <w:rsid w:val="25D576E1"/>
    <w:rsid w:val="25D82095"/>
    <w:rsid w:val="25E04505"/>
    <w:rsid w:val="25E361CF"/>
    <w:rsid w:val="25EB3162"/>
    <w:rsid w:val="25EC16E5"/>
    <w:rsid w:val="25F15EAD"/>
    <w:rsid w:val="25FC4ED3"/>
    <w:rsid w:val="25FE7860"/>
    <w:rsid w:val="25FF566C"/>
    <w:rsid w:val="260007EC"/>
    <w:rsid w:val="260E1B08"/>
    <w:rsid w:val="26197A4B"/>
    <w:rsid w:val="261A0F0A"/>
    <w:rsid w:val="26230690"/>
    <w:rsid w:val="26493BC5"/>
    <w:rsid w:val="26576688"/>
    <w:rsid w:val="26586CB4"/>
    <w:rsid w:val="265C785A"/>
    <w:rsid w:val="2662774A"/>
    <w:rsid w:val="266575CB"/>
    <w:rsid w:val="266C349F"/>
    <w:rsid w:val="26763B4A"/>
    <w:rsid w:val="267C2CCF"/>
    <w:rsid w:val="26996E38"/>
    <w:rsid w:val="269E3B2F"/>
    <w:rsid w:val="269F6FC4"/>
    <w:rsid w:val="26A5354C"/>
    <w:rsid w:val="26A61F80"/>
    <w:rsid w:val="26A81833"/>
    <w:rsid w:val="26AC4D8F"/>
    <w:rsid w:val="26B02E2F"/>
    <w:rsid w:val="26B35617"/>
    <w:rsid w:val="26CE036B"/>
    <w:rsid w:val="26D1527F"/>
    <w:rsid w:val="26DD3326"/>
    <w:rsid w:val="26E74C89"/>
    <w:rsid w:val="26E82BE6"/>
    <w:rsid w:val="26EC34FA"/>
    <w:rsid w:val="26F076B3"/>
    <w:rsid w:val="26F41AB4"/>
    <w:rsid w:val="26F43F48"/>
    <w:rsid w:val="26FE383A"/>
    <w:rsid w:val="26FF5B52"/>
    <w:rsid w:val="27096918"/>
    <w:rsid w:val="270C5549"/>
    <w:rsid w:val="270D0F81"/>
    <w:rsid w:val="270E1C49"/>
    <w:rsid w:val="270E3D64"/>
    <w:rsid w:val="270F45E0"/>
    <w:rsid w:val="27192246"/>
    <w:rsid w:val="27194E78"/>
    <w:rsid w:val="271A4FE1"/>
    <w:rsid w:val="2737163B"/>
    <w:rsid w:val="27396337"/>
    <w:rsid w:val="27474CB5"/>
    <w:rsid w:val="274F0899"/>
    <w:rsid w:val="275339FB"/>
    <w:rsid w:val="2756168B"/>
    <w:rsid w:val="27596A6E"/>
    <w:rsid w:val="275C21FB"/>
    <w:rsid w:val="275D6E8E"/>
    <w:rsid w:val="275F0B71"/>
    <w:rsid w:val="275F3EBA"/>
    <w:rsid w:val="276500BD"/>
    <w:rsid w:val="276516E8"/>
    <w:rsid w:val="27672381"/>
    <w:rsid w:val="27673F82"/>
    <w:rsid w:val="276B39B9"/>
    <w:rsid w:val="276B6364"/>
    <w:rsid w:val="276E3E79"/>
    <w:rsid w:val="27707205"/>
    <w:rsid w:val="277227DC"/>
    <w:rsid w:val="27866E34"/>
    <w:rsid w:val="278701AA"/>
    <w:rsid w:val="27897E91"/>
    <w:rsid w:val="278C0CC7"/>
    <w:rsid w:val="27934C2A"/>
    <w:rsid w:val="279C2D5A"/>
    <w:rsid w:val="279D1DFC"/>
    <w:rsid w:val="27A01E34"/>
    <w:rsid w:val="27A614E2"/>
    <w:rsid w:val="27B77DE9"/>
    <w:rsid w:val="27C57720"/>
    <w:rsid w:val="27CC5A46"/>
    <w:rsid w:val="27E90BD1"/>
    <w:rsid w:val="27EB7E77"/>
    <w:rsid w:val="28040644"/>
    <w:rsid w:val="280B0FFF"/>
    <w:rsid w:val="2811231B"/>
    <w:rsid w:val="28183B0A"/>
    <w:rsid w:val="282779F6"/>
    <w:rsid w:val="28330C53"/>
    <w:rsid w:val="2835728C"/>
    <w:rsid w:val="2837278A"/>
    <w:rsid w:val="28373DB5"/>
    <w:rsid w:val="28391B35"/>
    <w:rsid w:val="28434C3F"/>
    <w:rsid w:val="28436E7D"/>
    <w:rsid w:val="2848010A"/>
    <w:rsid w:val="284B3844"/>
    <w:rsid w:val="284F5D8F"/>
    <w:rsid w:val="28514F1F"/>
    <w:rsid w:val="2859111B"/>
    <w:rsid w:val="287A434E"/>
    <w:rsid w:val="287F676D"/>
    <w:rsid w:val="288144A7"/>
    <w:rsid w:val="28817A1A"/>
    <w:rsid w:val="28864B7C"/>
    <w:rsid w:val="28882B67"/>
    <w:rsid w:val="289A1EA9"/>
    <w:rsid w:val="289B2DDA"/>
    <w:rsid w:val="289C2C34"/>
    <w:rsid w:val="28A1693E"/>
    <w:rsid w:val="28A25836"/>
    <w:rsid w:val="28B14BED"/>
    <w:rsid w:val="28B37CE5"/>
    <w:rsid w:val="28B5599E"/>
    <w:rsid w:val="28BC20C4"/>
    <w:rsid w:val="28C52BC1"/>
    <w:rsid w:val="28C671EB"/>
    <w:rsid w:val="28C73C53"/>
    <w:rsid w:val="28DD4A6F"/>
    <w:rsid w:val="28DE73E8"/>
    <w:rsid w:val="28E56319"/>
    <w:rsid w:val="28F50032"/>
    <w:rsid w:val="28F83A06"/>
    <w:rsid w:val="28F9094C"/>
    <w:rsid w:val="28FC69B4"/>
    <w:rsid w:val="28FF471E"/>
    <w:rsid w:val="2903563D"/>
    <w:rsid w:val="2908797F"/>
    <w:rsid w:val="290A0ECC"/>
    <w:rsid w:val="290A5E05"/>
    <w:rsid w:val="291C7A80"/>
    <w:rsid w:val="291E6480"/>
    <w:rsid w:val="29245742"/>
    <w:rsid w:val="292D0689"/>
    <w:rsid w:val="292E0D15"/>
    <w:rsid w:val="292E3D15"/>
    <w:rsid w:val="29362454"/>
    <w:rsid w:val="293B7327"/>
    <w:rsid w:val="29455AF2"/>
    <w:rsid w:val="294A01C6"/>
    <w:rsid w:val="294A0273"/>
    <w:rsid w:val="294A1318"/>
    <w:rsid w:val="294E3F97"/>
    <w:rsid w:val="29584F1F"/>
    <w:rsid w:val="295B25CB"/>
    <w:rsid w:val="295D104C"/>
    <w:rsid w:val="2963384E"/>
    <w:rsid w:val="29677B5F"/>
    <w:rsid w:val="29805731"/>
    <w:rsid w:val="298A63AE"/>
    <w:rsid w:val="298B1727"/>
    <w:rsid w:val="29A22F02"/>
    <w:rsid w:val="29A42A47"/>
    <w:rsid w:val="29A52D65"/>
    <w:rsid w:val="29B41C90"/>
    <w:rsid w:val="29B56266"/>
    <w:rsid w:val="29BF7DA9"/>
    <w:rsid w:val="29C47882"/>
    <w:rsid w:val="29C507CB"/>
    <w:rsid w:val="29C6280F"/>
    <w:rsid w:val="29C72969"/>
    <w:rsid w:val="29C859C4"/>
    <w:rsid w:val="29CA4207"/>
    <w:rsid w:val="29CA7272"/>
    <w:rsid w:val="29CF20BD"/>
    <w:rsid w:val="29D30BC4"/>
    <w:rsid w:val="29EA61E1"/>
    <w:rsid w:val="2A00478F"/>
    <w:rsid w:val="2A016E88"/>
    <w:rsid w:val="2A0470A1"/>
    <w:rsid w:val="2A12754F"/>
    <w:rsid w:val="2A15603F"/>
    <w:rsid w:val="2A1D2682"/>
    <w:rsid w:val="2A1F5650"/>
    <w:rsid w:val="2A222967"/>
    <w:rsid w:val="2A287AAC"/>
    <w:rsid w:val="2A324EC4"/>
    <w:rsid w:val="2A340C22"/>
    <w:rsid w:val="2A3B61E6"/>
    <w:rsid w:val="2A44386B"/>
    <w:rsid w:val="2A446378"/>
    <w:rsid w:val="2A466700"/>
    <w:rsid w:val="2A477D74"/>
    <w:rsid w:val="2A525D26"/>
    <w:rsid w:val="2A5C5F3E"/>
    <w:rsid w:val="2A5D7A86"/>
    <w:rsid w:val="2A62313F"/>
    <w:rsid w:val="2A627958"/>
    <w:rsid w:val="2A646B09"/>
    <w:rsid w:val="2A690C9A"/>
    <w:rsid w:val="2A6B6C05"/>
    <w:rsid w:val="2A714C96"/>
    <w:rsid w:val="2A77770B"/>
    <w:rsid w:val="2A794DC8"/>
    <w:rsid w:val="2A7B3463"/>
    <w:rsid w:val="2A7D52D2"/>
    <w:rsid w:val="2A8620FE"/>
    <w:rsid w:val="2A882F1A"/>
    <w:rsid w:val="2A887C9E"/>
    <w:rsid w:val="2A8E61C3"/>
    <w:rsid w:val="2A911525"/>
    <w:rsid w:val="2A915A0E"/>
    <w:rsid w:val="2A992730"/>
    <w:rsid w:val="2AA468F5"/>
    <w:rsid w:val="2AB375CE"/>
    <w:rsid w:val="2AB83F4F"/>
    <w:rsid w:val="2ABF6967"/>
    <w:rsid w:val="2AC1107A"/>
    <w:rsid w:val="2AC54D9B"/>
    <w:rsid w:val="2ACD5C91"/>
    <w:rsid w:val="2AE15E45"/>
    <w:rsid w:val="2AE626EB"/>
    <w:rsid w:val="2AE810CC"/>
    <w:rsid w:val="2B045B27"/>
    <w:rsid w:val="2B054629"/>
    <w:rsid w:val="2B083239"/>
    <w:rsid w:val="2B156A94"/>
    <w:rsid w:val="2B1F49B6"/>
    <w:rsid w:val="2B2159D0"/>
    <w:rsid w:val="2B312790"/>
    <w:rsid w:val="2B3D02B6"/>
    <w:rsid w:val="2B3D2A45"/>
    <w:rsid w:val="2B464111"/>
    <w:rsid w:val="2B6E500C"/>
    <w:rsid w:val="2B6F5289"/>
    <w:rsid w:val="2B7D4BFD"/>
    <w:rsid w:val="2B7D57CC"/>
    <w:rsid w:val="2B816F95"/>
    <w:rsid w:val="2B844556"/>
    <w:rsid w:val="2B872C21"/>
    <w:rsid w:val="2B9B5E5B"/>
    <w:rsid w:val="2BAB3C05"/>
    <w:rsid w:val="2BAC103E"/>
    <w:rsid w:val="2BC82181"/>
    <w:rsid w:val="2BC86581"/>
    <w:rsid w:val="2BCD0EA0"/>
    <w:rsid w:val="2BD249B0"/>
    <w:rsid w:val="2BE057DA"/>
    <w:rsid w:val="2BE63710"/>
    <w:rsid w:val="2BF156C2"/>
    <w:rsid w:val="2BFD1A31"/>
    <w:rsid w:val="2C0065F2"/>
    <w:rsid w:val="2C04339E"/>
    <w:rsid w:val="2C0954BB"/>
    <w:rsid w:val="2C0D087E"/>
    <w:rsid w:val="2C0D143B"/>
    <w:rsid w:val="2C164676"/>
    <w:rsid w:val="2C195B3B"/>
    <w:rsid w:val="2C231E0C"/>
    <w:rsid w:val="2C2B2ABD"/>
    <w:rsid w:val="2C302CFF"/>
    <w:rsid w:val="2C377163"/>
    <w:rsid w:val="2C3E353B"/>
    <w:rsid w:val="2C4304C8"/>
    <w:rsid w:val="2C450411"/>
    <w:rsid w:val="2C4B1A9E"/>
    <w:rsid w:val="2C4D3949"/>
    <w:rsid w:val="2C4E7725"/>
    <w:rsid w:val="2C4F6BA3"/>
    <w:rsid w:val="2C530849"/>
    <w:rsid w:val="2C5B33B4"/>
    <w:rsid w:val="2C5C7417"/>
    <w:rsid w:val="2C722395"/>
    <w:rsid w:val="2C785F70"/>
    <w:rsid w:val="2C9D3433"/>
    <w:rsid w:val="2C9F2FEB"/>
    <w:rsid w:val="2CB11B9B"/>
    <w:rsid w:val="2CB56F45"/>
    <w:rsid w:val="2CC55055"/>
    <w:rsid w:val="2CC55925"/>
    <w:rsid w:val="2CC969F8"/>
    <w:rsid w:val="2CD716A3"/>
    <w:rsid w:val="2CE657FC"/>
    <w:rsid w:val="2CE9181C"/>
    <w:rsid w:val="2CEF7077"/>
    <w:rsid w:val="2CF14E0B"/>
    <w:rsid w:val="2CF81A7E"/>
    <w:rsid w:val="2CFA5F22"/>
    <w:rsid w:val="2CFC141D"/>
    <w:rsid w:val="2D0068BE"/>
    <w:rsid w:val="2D013643"/>
    <w:rsid w:val="2D034B1A"/>
    <w:rsid w:val="2D0407D7"/>
    <w:rsid w:val="2D071E4C"/>
    <w:rsid w:val="2D073331"/>
    <w:rsid w:val="2D0761DD"/>
    <w:rsid w:val="2D077F95"/>
    <w:rsid w:val="2D0D14C9"/>
    <w:rsid w:val="2D136A46"/>
    <w:rsid w:val="2D142369"/>
    <w:rsid w:val="2D285467"/>
    <w:rsid w:val="2D2919CC"/>
    <w:rsid w:val="2D36778F"/>
    <w:rsid w:val="2D3B5896"/>
    <w:rsid w:val="2D3E3BBD"/>
    <w:rsid w:val="2D515B64"/>
    <w:rsid w:val="2D5A3189"/>
    <w:rsid w:val="2D5B7073"/>
    <w:rsid w:val="2D5F7D85"/>
    <w:rsid w:val="2D635B30"/>
    <w:rsid w:val="2D655CF8"/>
    <w:rsid w:val="2D6934DE"/>
    <w:rsid w:val="2D6C3DE5"/>
    <w:rsid w:val="2D7C47B5"/>
    <w:rsid w:val="2D842A3F"/>
    <w:rsid w:val="2D8C48B2"/>
    <w:rsid w:val="2D8C541E"/>
    <w:rsid w:val="2D8D686A"/>
    <w:rsid w:val="2D9C2F7E"/>
    <w:rsid w:val="2D9C3953"/>
    <w:rsid w:val="2D9E46A9"/>
    <w:rsid w:val="2DA15A82"/>
    <w:rsid w:val="2DAC1144"/>
    <w:rsid w:val="2DB27425"/>
    <w:rsid w:val="2DB67BB6"/>
    <w:rsid w:val="2DC6252A"/>
    <w:rsid w:val="2DC720B2"/>
    <w:rsid w:val="2DCB4E79"/>
    <w:rsid w:val="2DCF4DFF"/>
    <w:rsid w:val="2DD60122"/>
    <w:rsid w:val="2DD84A2D"/>
    <w:rsid w:val="2DDC3084"/>
    <w:rsid w:val="2DDF4CE5"/>
    <w:rsid w:val="2DE26FB5"/>
    <w:rsid w:val="2DE66135"/>
    <w:rsid w:val="2DEF4D07"/>
    <w:rsid w:val="2DF570A7"/>
    <w:rsid w:val="2E02044B"/>
    <w:rsid w:val="2E0C0A7A"/>
    <w:rsid w:val="2E0F484D"/>
    <w:rsid w:val="2E120893"/>
    <w:rsid w:val="2E123C05"/>
    <w:rsid w:val="2E127A54"/>
    <w:rsid w:val="2E15472F"/>
    <w:rsid w:val="2E293BF2"/>
    <w:rsid w:val="2E30269C"/>
    <w:rsid w:val="2E312E34"/>
    <w:rsid w:val="2E374DA9"/>
    <w:rsid w:val="2E3D0436"/>
    <w:rsid w:val="2E417705"/>
    <w:rsid w:val="2E434A9E"/>
    <w:rsid w:val="2E446040"/>
    <w:rsid w:val="2E474C37"/>
    <w:rsid w:val="2E4812ED"/>
    <w:rsid w:val="2E481F3B"/>
    <w:rsid w:val="2E5A0124"/>
    <w:rsid w:val="2E5B1362"/>
    <w:rsid w:val="2E662D6A"/>
    <w:rsid w:val="2E692FB7"/>
    <w:rsid w:val="2E764E98"/>
    <w:rsid w:val="2E7D6225"/>
    <w:rsid w:val="2E984D6F"/>
    <w:rsid w:val="2EA43BFE"/>
    <w:rsid w:val="2EB3461D"/>
    <w:rsid w:val="2EB55486"/>
    <w:rsid w:val="2EB6067B"/>
    <w:rsid w:val="2EBE0FF6"/>
    <w:rsid w:val="2EBF4557"/>
    <w:rsid w:val="2EC20C57"/>
    <w:rsid w:val="2EC81A7A"/>
    <w:rsid w:val="2ECA0F10"/>
    <w:rsid w:val="2ED5145A"/>
    <w:rsid w:val="2EDE08BF"/>
    <w:rsid w:val="2EDF3A77"/>
    <w:rsid w:val="2EE42496"/>
    <w:rsid w:val="2EEA0428"/>
    <w:rsid w:val="2EEA1E67"/>
    <w:rsid w:val="2EEA7BD5"/>
    <w:rsid w:val="2EF97A69"/>
    <w:rsid w:val="2EFA29A3"/>
    <w:rsid w:val="2F01287A"/>
    <w:rsid w:val="2F021AE0"/>
    <w:rsid w:val="2F032695"/>
    <w:rsid w:val="2F1227FF"/>
    <w:rsid w:val="2F196461"/>
    <w:rsid w:val="2F1B2E42"/>
    <w:rsid w:val="2F271EE2"/>
    <w:rsid w:val="2F290910"/>
    <w:rsid w:val="2F2B6FD4"/>
    <w:rsid w:val="2F2D0447"/>
    <w:rsid w:val="2F3C1703"/>
    <w:rsid w:val="2F4A32C7"/>
    <w:rsid w:val="2F4D64BD"/>
    <w:rsid w:val="2F4F7516"/>
    <w:rsid w:val="2F590C70"/>
    <w:rsid w:val="2F593587"/>
    <w:rsid w:val="2F5C4805"/>
    <w:rsid w:val="2F6723B0"/>
    <w:rsid w:val="2F6A5E7A"/>
    <w:rsid w:val="2F7125F3"/>
    <w:rsid w:val="2F733686"/>
    <w:rsid w:val="2F807273"/>
    <w:rsid w:val="2F832EA9"/>
    <w:rsid w:val="2F856095"/>
    <w:rsid w:val="2F8654AE"/>
    <w:rsid w:val="2F8D1E2D"/>
    <w:rsid w:val="2F953A07"/>
    <w:rsid w:val="2F9570EB"/>
    <w:rsid w:val="2F972F8F"/>
    <w:rsid w:val="2F992DD7"/>
    <w:rsid w:val="2FB30DA5"/>
    <w:rsid w:val="2FB53684"/>
    <w:rsid w:val="2FBF6743"/>
    <w:rsid w:val="2FC160E7"/>
    <w:rsid w:val="2FCF573A"/>
    <w:rsid w:val="2FD002AE"/>
    <w:rsid w:val="2FD026CE"/>
    <w:rsid w:val="2FD21CB6"/>
    <w:rsid w:val="2FDC224A"/>
    <w:rsid w:val="2FE575F9"/>
    <w:rsid w:val="2FE754F4"/>
    <w:rsid w:val="2FF050E3"/>
    <w:rsid w:val="2FF74C9C"/>
    <w:rsid w:val="2FFD0C66"/>
    <w:rsid w:val="30006C75"/>
    <w:rsid w:val="30081501"/>
    <w:rsid w:val="301D0895"/>
    <w:rsid w:val="30207BF9"/>
    <w:rsid w:val="30234671"/>
    <w:rsid w:val="302D396D"/>
    <w:rsid w:val="302D7F4C"/>
    <w:rsid w:val="3038636F"/>
    <w:rsid w:val="304E111C"/>
    <w:rsid w:val="305A1C5D"/>
    <w:rsid w:val="305E20C4"/>
    <w:rsid w:val="306141FE"/>
    <w:rsid w:val="306D705E"/>
    <w:rsid w:val="30717AF7"/>
    <w:rsid w:val="30782C0F"/>
    <w:rsid w:val="307956ED"/>
    <w:rsid w:val="308B4195"/>
    <w:rsid w:val="309127A0"/>
    <w:rsid w:val="30941BCA"/>
    <w:rsid w:val="309665F5"/>
    <w:rsid w:val="30990304"/>
    <w:rsid w:val="30996BF8"/>
    <w:rsid w:val="309A0EBE"/>
    <w:rsid w:val="309E7D43"/>
    <w:rsid w:val="30AA4330"/>
    <w:rsid w:val="30AC62D3"/>
    <w:rsid w:val="30AF7FEE"/>
    <w:rsid w:val="30B4531E"/>
    <w:rsid w:val="30BA08F7"/>
    <w:rsid w:val="30BA4C42"/>
    <w:rsid w:val="30BA5681"/>
    <w:rsid w:val="30BE73BB"/>
    <w:rsid w:val="30C332F3"/>
    <w:rsid w:val="30C63648"/>
    <w:rsid w:val="30CA12C4"/>
    <w:rsid w:val="30CD57A3"/>
    <w:rsid w:val="30D57FFB"/>
    <w:rsid w:val="30D66624"/>
    <w:rsid w:val="30F71F54"/>
    <w:rsid w:val="30FA7AA4"/>
    <w:rsid w:val="30FF4578"/>
    <w:rsid w:val="31062488"/>
    <w:rsid w:val="31187218"/>
    <w:rsid w:val="311C21C8"/>
    <w:rsid w:val="31220CCB"/>
    <w:rsid w:val="31295A7D"/>
    <w:rsid w:val="313B46EE"/>
    <w:rsid w:val="313D1C1C"/>
    <w:rsid w:val="3140612E"/>
    <w:rsid w:val="31445636"/>
    <w:rsid w:val="314C143D"/>
    <w:rsid w:val="31554CFE"/>
    <w:rsid w:val="316954E5"/>
    <w:rsid w:val="317F5EBD"/>
    <w:rsid w:val="31845E3F"/>
    <w:rsid w:val="318556E6"/>
    <w:rsid w:val="318A0E4C"/>
    <w:rsid w:val="318A2E2D"/>
    <w:rsid w:val="318D2614"/>
    <w:rsid w:val="318D4FDF"/>
    <w:rsid w:val="31A03484"/>
    <w:rsid w:val="31A64960"/>
    <w:rsid w:val="31A936E8"/>
    <w:rsid w:val="31AF35B1"/>
    <w:rsid w:val="31BE7A1F"/>
    <w:rsid w:val="31C9524B"/>
    <w:rsid w:val="31D7328F"/>
    <w:rsid w:val="31D7482D"/>
    <w:rsid w:val="31E247E4"/>
    <w:rsid w:val="31E57E30"/>
    <w:rsid w:val="31E640E6"/>
    <w:rsid w:val="31E96ED1"/>
    <w:rsid w:val="31EE0F92"/>
    <w:rsid w:val="31F67866"/>
    <w:rsid w:val="32064C08"/>
    <w:rsid w:val="320B315C"/>
    <w:rsid w:val="320B3BB8"/>
    <w:rsid w:val="321248B5"/>
    <w:rsid w:val="321415FA"/>
    <w:rsid w:val="321777E4"/>
    <w:rsid w:val="32201401"/>
    <w:rsid w:val="322514AB"/>
    <w:rsid w:val="32253575"/>
    <w:rsid w:val="322752A4"/>
    <w:rsid w:val="322F4FB9"/>
    <w:rsid w:val="3231615B"/>
    <w:rsid w:val="32371E7B"/>
    <w:rsid w:val="323B2146"/>
    <w:rsid w:val="3249071D"/>
    <w:rsid w:val="324C5B91"/>
    <w:rsid w:val="325D030E"/>
    <w:rsid w:val="327931DF"/>
    <w:rsid w:val="327E641A"/>
    <w:rsid w:val="32803C69"/>
    <w:rsid w:val="32811203"/>
    <w:rsid w:val="3281126E"/>
    <w:rsid w:val="32820DB2"/>
    <w:rsid w:val="32874AC3"/>
    <w:rsid w:val="328B4CE0"/>
    <w:rsid w:val="329D5D12"/>
    <w:rsid w:val="32AA4516"/>
    <w:rsid w:val="32AD4B3C"/>
    <w:rsid w:val="32AF18D3"/>
    <w:rsid w:val="32B048E2"/>
    <w:rsid w:val="32B23977"/>
    <w:rsid w:val="32B46B4C"/>
    <w:rsid w:val="32BF2D77"/>
    <w:rsid w:val="32C52BC8"/>
    <w:rsid w:val="32C713D5"/>
    <w:rsid w:val="32CC0D8D"/>
    <w:rsid w:val="32D408BB"/>
    <w:rsid w:val="32DA7E7C"/>
    <w:rsid w:val="32DE4022"/>
    <w:rsid w:val="32DF750C"/>
    <w:rsid w:val="32E82CC2"/>
    <w:rsid w:val="33056F8F"/>
    <w:rsid w:val="330747B6"/>
    <w:rsid w:val="33154745"/>
    <w:rsid w:val="33156F34"/>
    <w:rsid w:val="331861F8"/>
    <w:rsid w:val="332B0681"/>
    <w:rsid w:val="332E2D61"/>
    <w:rsid w:val="3331233F"/>
    <w:rsid w:val="33324645"/>
    <w:rsid w:val="33340896"/>
    <w:rsid w:val="33367F97"/>
    <w:rsid w:val="33375842"/>
    <w:rsid w:val="333C7F24"/>
    <w:rsid w:val="33481E80"/>
    <w:rsid w:val="3355007A"/>
    <w:rsid w:val="335B73D8"/>
    <w:rsid w:val="33727AEA"/>
    <w:rsid w:val="33762A00"/>
    <w:rsid w:val="337B1BB3"/>
    <w:rsid w:val="337D1586"/>
    <w:rsid w:val="337E6CBA"/>
    <w:rsid w:val="33837901"/>
    <w:rsid w:val="338D0679"/>
    <w:rsid w:val="33A5477E"/>
    <w:rsid w:val="33B1496A"/>
    <w:rsid w:val="33B2631C"/>
    <w:rsid w:val="33B71AA5"/>
    <w:rsid w:val="33BB1505"/>
    <w:rsid w:val="33BB55EB"/>
    <w:rsid w:val="33BC27B5"/>
    <w:rsid w:val="33BD6DE3"/>
    <w:rsid w:val="33BF3658"/>
    <w:rsid w:val="33CA462F"/>
    <w:rsid w:val="33CB08C6"/>
    <w:rsid w:val="33CB4953"/>
    <w:rsid w:val="33D437E2"/>
    <w:rsid w:val="33D60460"/>
    <w:rsid w:val="33E17A4C"/>
    <w:rsid w:val="33E65877"/>
    <w:rsid w:val="33E822D7"/>
    <w:rsid w:val="33E8586F"/>
    <w:rsid w:val="33EA159A"/>
    <w:rsid w:val="33F94AF2"/>
    <w:rsid w:val="33FD5487"/>
    <w:rsid w:val="34037908"/>
    <w:rsid w:val="340526EB"/>
    <w:rsid w:val="340640D1"/>
    <w:rsid w:val="340D2A81"/>
    <w:rsid w:val="34175A19"/>
    <w:rsid w:val="341E1226"/>
    <w:rsid w:val="34230704"/>
    <w:rsid w:val="342321F9"/>
    <w:rsid w:val="342B4448"/>
    <w:rsid w:val="342D5735"/>
    <w:rsid w:val="34311F09"/>
    <w:rsid w:val="343C446F"/>
    <w:rsid w:val="34420031"/>
    <w:rsid w:val="34445D97"/>
    <w:rsid w:val="34445FFC"/>
    <w:rsid w:val="344A6F3D"/>
    <w:rsid w:val="34530933"/>
    <w:rsid w:val="346F4DE0"/>
    <w:rsid w:val="348376CA"/>
    <w:rsid w:val="34843982"/>
    <w:rsid w:val="34846087"/>
    <w:rsid w:val="3486620A"/>
    <w:rsid w:val="34941B4F"/>
    <w:rsid w:val="349F4C0E"/>
    <w:rsid w:val="34A00964"/>
    <w:rsid w:val="34A022D2"/>
    <w:rsid w:val="34AC6BF2"/>
    <w:rsid w:val="34AD3DCC"/>
    <w:rsid w:val="34B14942"/>
    <w:rsid w:val="34B16BF8"/>
    <w:rsid w:val="34B205CD"/>
    <w:rsid w:val="34C13733"/>
    <w:rsid w:val="34C255D1"/>
    <w:rsid w:val="34C324B7"/>
    <w:rsid w:val="34C71A6F"/>
    <w:rsid w:val="34CE3B3F"/>
    <w:rsid w:val="34DE26BE"/>
    <w:rsid w:val="34DE7FBE"/>
    <w:rsid w:val="34E9628A"/>
    <w:rsid w:val="34F07D9E"/>
    <w:rsid w:val="34F963FE"/>
    <w:rsid w:val="34FC3490"/>
    <w:rsid w:val="35041D35"/>
    <w:rsid w:val="35065A96"/>
    <w:rsid w:val="350F081E"/>
    <w:rsid w:val="35130551"/>
    <w:rsid w:val="35144F29"/>
    <w:rsid w:val="35154ED0"/>
    <w:rsid w:val="35177D36"/>
    <w:rsid w:val="35211F9C"/>
    <w:rsid w:val="352A381F"/>
    <w:rsid w:val="35396689"/>
    <w:rsid w:val="353E6CC8"/>
    <w:rsid w:val="3549545F"/>
    <w:rsid w:val="354D04FA"/>
    <w:rsid w:val="355D5C6F"/>
    <w:rsid w:val="35787C5F"/>
    <w:rsid w:val="35892D97"/>
    <w:rsid w:val="35920CC2"/>
    <w:rsid w:val="3594257C"/>
    <w:rsid w:val="35977562"/>
    <w:rsid w:val="35A94EF1"/>
    <w:rsid w:val="35AB13C2"/>
    <w:rsid w:val="35AB3100"/>
    <w:rsid w:val="35AF759B"/>
    <w:rsid w:val="35B006D9"/>
    <w:rsid w:val="35BD23E6"/>
    <w:rsid w:val="35BE3909"/>
    <w:rsid w:val="35C1603B"/>
    <w:rsid w:val="35C83662"/>
    <w:rsid w:val="35D7517F"/>
    <w:rsid w:val="35DA7B51"/>
    <w:rsid w:val="35EB4014"/>
    <w:rsid w:val="35F72567"/>
    <w:rsid w:val="36064403"/>
    <w:rsid w:val="3610714D"/>
    <w:rsid w:val="36161DA4"/>
    <w:rsid w:val="361707D4"/>
    <w:rsid w:val="36304842"/>
    <w:rsid w:val="36356858"/>
    <w:rsid w:val="363A3C73"/>
    <w:rsid w:val="364A44D0"/>
    <w:rsid w:val="364D3920"/>
    <w:rsid w:val="364E1AE3"/>
    <w:rsid w:val="36501BEF"/>
    <w:rsid w:val="365142DA"/>
    <w:rsid w:val="365264BD"/>
    <w:rsid w:val="36552AC5"/>
    <w:rsid w:val="366D4898"/>
    <w:rsid w:val="36710CB2"/>
    <w:rsid w:val="367922E5"/>
    <w:rsid w:val="36807C62"/>
    <w:rsid w:val="3691523E"/>
    <w:rsid w:val="36950B19"/>
    <w:rsid w:val="369A23EC"/>
    <w:rsid w:val="369B3CC5"/>
    <w:rsid w:val="36A3081A"/>
    <w:rsid w:val="36A81DDC"/>
    <w:rsid w:val="36B61627"/>
    <w:rsid w:val="36BB2416"/>
    <w:rsid w:val="36D11A3E"/>
    <w:rsid w:val="36D2780D"/>
    <w:rsid w:val="36D83E3F"/>
    <w:rsid w:val="36E36908"/>
    <w:rsid w:val="36EB68FA"/>
    <w:rsid w:val="36F81DA0"/>
    <w:rsid w:val="36FA29F6"/>
    <w:rsid w:val="36FA6526"/>
    <w:rsid w:val="370276FA"/>
    <w:rsid w:val="37051030"/>
    <w:rsid w:val="371279D1"/>
    <w:rsid w:val="37194D3B"/>
    <w:rsid w:val="37197597"/>
    <w:rsid w:val="37282428"/>
    <w:rsid w:val="372F49AE"/>
    <w:rsid w:val="373C0158"/>
    <w:rsid w:val="37413A96"/>
    <w:rsid w:val="37442477"/>
    <w:rsid w:val="374A2C6E"/>
    <w:rsid w:val="37516BF6"/>
    <w:rsid w:val="37550C45"/>
    <w:rsid w:val="3757427D"/>
    <w:rsid w:val="37593895"/>
    <w:rsid w:val="375A6758"/>
    <w:rsid w:val="375B5A7C"/>
    <w:rsid w:val="375E39F8"/>
    <w:rsid w:val="376B1A89"/>
    <w:rsid w:val="37702B05"/>
    <w:rsid w:val="3777432D"/>
    <w:rsid w:val="378A0189"/>
    <w:rsid w:val="378E1FD9"/>
    <w:rsid w:val="37901D6D"/>
    <w:rsid w:val="37952B49"/>
    <w:rsid w:val="37952F4A"/>
    <w:rsid w:val="37980CBF"/>
    <w:rsid w:val="37A129A7"/>
    <w:rsid w:val="37B965F8"/>
    <w:rsid w:val="37C33BF8"/>
    <w:rsid w:val="37C4498C"/>
    <w:rsid w:val="37E252C1"/>
    <w:rsid w:val="37E31356"/>
    <w:rsid w:val="37F95533"/>
    <w:rsid w:val="37FB7CA5"/>
    <w:rsid w:val="37FD6026"/>
    <w:rsid w:val="37FE37CC"/>
    <w:rsid w:val="380001BB"/>
    <w:rsid w:val="38022D9A"/>
    <w:rsid w:val="38035721"/>
    <w:rsid w:val="380359CB"/>
    <w:rsid w:val="38117DB1"/>
    <w:rsid w:val="38141215"/>
    <w:rsid w:val="38145BED"/>
    <w:rsid w:val="38213A45"/>
    <w:rsid w:val="38293AD6"/>
    <w:rsid w:val="382A2A41"/>
    <w:rsid w:val="382C13E0"/>
    <w:rsid w:val="38377BAD"/>
    <w:rsid w:val="384362B5"/>
    <w:rsid w:val="384671C7"/>
    <w:rsid w:val="38572953"/>
    <w:rsid w:val="385C1F8F"/>
    <w:rsid w:val="38606463"/>
    <w:rsid w:val="38632B5B"/>
    <w:rsid w:val="38651CCB"/>
    <w:rsid w:val="386A4E9D"/>
    <w:rsid w:val="386D60F7"/>
    <w:rsid w:val="38725C00"/>
    <w:rsid w:val="38745B32"/>
    <w:rsid w:val="387E568E"/>
    <w:rsid w:val="388125CD"/>
    <w:rsid w:val="3888396E"/>
    <w:rsid w:val="38895695"/>
    <w:rsid w:val="388E15B1"/>
    <w:rsid w:val="38911F8F"/>
    <w:rsid w:val="3894328B"/>
    <w:rsid w:val="389C4999"/>
    <w:rsid w:val="389F7DB8"/>
    <w:rsid w:val="38A1277A"/>
    <w:rsid w:val="38A61C8E"/>
    <w:rsid w:val="38A74956"/>
    <w:rsid w:val="38BB186C"/>
    <w:rsid w:val="38BC27DE"/>
    <w:rsid w:val="38BE05AB"/>
    <w:rsid w:val="38C11BF5"/>
    <w:rsid w:val="38CB4DBD"/>
    <w:rsid w:val="38D33F91"/>
    <w:rsid w:val="38DC249A"/>
    <w:rsid w:val="38DF64F2"/>
    <w:rsid w:val="38E47094"/>
    <w:rsid w:val="38E5219F"/>
    <w:rsid w:val="38EA2958"/>
    <w:rsid w:val="38F051F4"/>
    <w:rsid w:val="38F30A4D"/>
    <w:rsid w:val="390036EB"/>
    <w:rsid w:val="39094E60"/>
    <w:rsid w:val="390A4620"/>
    <w:rsid w:val="391746F2"/>
    <w:rsid w:val="39177B7F"/>
    <w:rsid w:val="3926685A"/>
    <w:rsid w:val="392E2F5C"/>
    <w:rsid w:val="39301A39"/>
    <w:rsid w:val="393029D7"/>
    <w:rsid w:val="39323656"/>
    <w:rsid w:val="393552C3"/>
    <w:rsid w:val="39381524"/>
    <w:rsid w:val="3946419E"/>
    <w:rsid w:val="394826A9"/>
    <w:rsid w:val="394C657D"/>
    <w:rsid w:val="394E4D55"/>
    <w:rsid w:val="394F67F9"/>
    <w:rsid w:val="39521576"/>
    <w:rsid w:val="395B484B"/>
    <w:rsid w:val="396252D9"/>
    <w:rsid w:val="398A77B5"/>
    <w:rsid w:val="398D2E23"/>
    <w:rsid w:val="398F6901"/>
    <w:rsid w:val="3991382E"/>
    <w:rsid w:val="39A274F9"/>
    <w:rsid w:val="39B80833"/>
    <w:rsid w:val="39C16DE3"/>
    <w:rsid w:val="39C77A9D"/>
    <w:rsid w:val="39D00E01"/>
    <w:rsid w:val="39D41877"/>
    <w:rsid w:val="39DF1250"/>
    <w:rsid w:val="39E76710"/>
    <w:rsid w:val="39F70F78"/>
    <w:rsid w:val="39F74A07"/>
    <w:rsid w:val="39F82F33"/>
    <w:rsid w:val="3A01126F"/>
    <w:rsid w:val="3A042CF5"/>
    <w:rsid w:val="3A095597"/>
    <w:rsid w:val="3A0A5E85"/>
    <w:rsid w:val="3A10154F"/>
    <w:rsid w:val="3A1137BC"/>
    <w:rsid w:val="3A1536E1"/>
    <w:rsid w:val="3A176DB7"/>
    <w:rsid w:val="3A23476F"/>
    <w:rsid w:val="3A2A4449"/>
    <w:rsid w:val="3A2E2C82"/>
    <w:rsid w:val="3A316831"/>
    <w:rsid w:val="3A35386D"/>
    <w:rsid w:val="3A4640AD"/>
    <w:rsid w:val="3A4A52F3"/>
    <w:rsid w:val="3A4B4F7C"/>
    <w:rsid w:val="3A517005"/>
    <w:rsid w:val="3A52627F"/>
    <w:rsid w:val="3A55336F"/>
    <w:rsid w:val="3A6D0637"/>
    <w:rsid w:val="3A6F5B5C"/>
    <w:rsid w:val="3A746E70"/>
    <w:rsid w:val="3A797A98"/>
    <w:rsid w:val="3A7C2791"/>
    <w:rsid w:val="3A7E76DC"/>
    <w:rsid w:val="3A895549"/>
    <w:rsid w:val="3A8A12BF"/>
    <w:rsid w:val="3A8C7DAC"/>
    <w:rsid w:val="3A8D0966"/>
    <w:rsid w:val="3A901C4B"/>
    <w:rsid w:val="3A9F11E8"/>
    <w:rsid w:val="3AA02DCB"/>
    <w:rsid w:val="3AA56044"/>
    <w:rsid w:val="3AA64F72"/>
    <w:rsid w:val="3AAF04CC"/>
    <w:rsid w:val="3AC6423C"/>
    <w:rsid w:val="3ACC1E87"/>
    <w:rsid w:val="3AD134FF"/>
    <w:rsid w:val="3ADE5747"/>
    <w:rsid w:val="3ADE5D8A"/>
    <w:rsid w:val="3ADF6866"/>
    <w:rsid w:val="3AE059F4"/>
    <w:rsid w:val="3AE22697"/>
    <w:rsid w:val="3AE36264"/>
    <w:rsid w:val="3AE84EF7"/>
    <w:rsid w:val="3AED1F3F"/>
    <w:rsid w:val="3AEF3ACE"/>
    <w:rsid w:val="3AF36923"/>
    <w:rsid w:val="3B0231A5"/>
    <w:rsid w:val="3B06542D"/>
    <w:rsid w:val="3B082290"/>
    <w:rsid w:val="3B0E35CA"/>
    <w:rsid w:val="3B147895"/>
    <w:rsid w:val="3B227D64"/>
    <w:rsid w:val="3B242A64"/>
    <w:rsid w:val="3B256CFF"/>
    <w:rsid w:val="3B265088"/>
    <w:rsid w:val="3B291286"/>
    <w:rsid w:val="3B292452"/>
    <w:rsid w:val="3B364A01"/>
    <w:rsid w:val="3B3911ED"/>
    <w:rsid w:val="3B521AA4"/>
    <w:rsid w:val="3B5614F8"/>
    <w:rsid w:val="3B5D04CD"/>
    <w:rsid w:val="3B6A56E2"/>
    <w:rsid w:val="3B6B61ED"/>
    <w:rsid w:val="3B6F3D90"/>
    <w:rsid w:val="3B7224D7"/>
    <w:rsid w:val="3B75243D"/>
    <w:rsid w:val="3B861C39"/>
    <w:rsid w:val="3B8D5C61"/>
    <w:rsid w:val="3B953EA1"/>
    <w:rsid w:val="3B9A0F0F"/>
    <w:rsid w:val="3BA6480D"/>
    <w:rsid w:val="3BAA29B8"/>
    <w:rsid w:val="3BAA5C47"/>
    <w:rsid w:val="3BBB3AD8"/>
    <w:rsid w:val="3BBE1512"/>
    <w:rsid w:val="3BCC776D"/>
    <w:rsid w:val="3BD3438B"/>
    <w:rsid w:val="3BF41EFE"/>
    <w:rsid w:val="3BF701DA"/>
    <w:rsid w:val="3BFD7AC9"/>
    <w:rsid w:val="3C0609B8"/>
    <w:rsid w:val="3C0E6432"/>
    <w:rsid w:val="3C125646"/>
    <w:rsid w:val="3C36595D"/>
    <w:rsid w:val="3C382C6A"/>
    <w:rsid w:val="3C46315E"/>
    <w:rsid w:val="3C477020"/>
    <w:rsid w:val="3C4D3447"/>
    <w:rsid w:val="3C4E3D04"/>
    <w:rsid w:val="3C5067CA"/>
    <w:rsid w:val="3C5D071F"/>
    <w:rsid w:val="3C656987"/>
    <w:rsid w:val="3C671072"/>
    <w:rsid w:val="3C717407"/>
    <w:rsid w:val="3C724F92"/>
    <w:rsid w:val="3C7F4799"/>
    <w:rsid w:val="3C872D0C"/>
    <w:rsid w:val="3C8B2A14"/>
    <w:rsid w:val="3C914C47"/>
    <w:rsid w:val="3C927FAC"/>
    <w:rsid w:val="3C9316FF"/>
    <w:rsid w:val="3C937DCC"/>
    <w:rsid w:val="3CA47A85"/>
    <w:rsid w:val="3CBA2EB3"/>
    <w:rsid w:val="3CC50EE2"/>
    <w:rsid w:val="3CCA1DD8"/>
    <w:rsid w:val="3CD06973"/>
    <w:rsid w:val="3CD253C3"/>
    <w:rsid w:val="3CEF6007"/>
    <w:rsid w:val="3CF1716A"/>
    <w:rsid w:val="3CF37929"/>
    <w:rsid w:val="3CF807E7"/>
    <w:rsid w:val="3CF9453E"/>
    <w:rsid w:val="3CFF2D79"/>
    <w:rsid w:val="3D0309EB"/>
    <w:rsid w:val="3D077E05"/>
    <w:rsid w:val="3D0B0AD4"/>
    <w:rsid w:val="3D112444"/>
    <w:rsid w:val="3D1125D4"/>
    <w:rsid w:val="3D174350"/>
    <w:rsid w:val="3D194AD9"/>
    <w:rsid w:val="3D22790F"/>
    <w:rsid w:val="3D350C34"/>
    <w:rsid w:val="3D350F05"/>
    <w:rsid w:val="3D447B58"/>
    <w:rsid w:val="3D453BEB"/>
    <w:rsid w:val="3D4649FC"/>
    <w:rsid w:val="3D4B7182"/>
    <w:rsid w:val="3D506DFE"/>
    <w:rsid w:val="3D52414F"/>
    <w:rsid w:val="3D532A3A"/>
    <w:rsid w:val="3D5A3E15"/>
    <w:rsid w:val="3D5B6088"/>
    <w:rsid w:val="3D6D712A"/>
    <w:rsid w:val="3D737CCD"/>
    <w:rsid w:val="3D7470D9"/>
    <w:rsid w:val="3D987E9C"/>
    <w:rsid w:val="3DAA5DE3"/>
    <w:rsid w:val="3DBB14DE"/>
    <w:rsid w:val="3DBC20CC"/>
    <w:rsid w:val="3DBF5BF0"/>
    <w:rsid w:val="3DC16F77"/>
    <w:rsid w:val="3DC20128"/>
    <w:rsid w:val="3DC404EA"/>
    <w:rsid w:val="3DC7308E"/>
    <w:rsid w:val="3DD173BD"/>
    <w:rsid w:val="3DD339A2"/>
    <w:rsid w:val="3DDA212F"/>
    <w:rsid w:val="3DDA4FFB"/>
    <w:rsid w:val="3DEC6115"/>
    <w:rsid w:val="3DF64CF8"/>
    <w:rsid w:val="3E1F6240"/>
    <w:rsid w:val="3E2069B9"/>
    <w:rsid w:val="3E2570D7"/>
    <w:rsid w:val="3E2D2B48"/>
    <w:rsid w:val="3E395380"/>
    <w:rsid w:val="3E4A7D2B"/>
    <w:rsid w:val="3E4C11E1"/>
    <w:rsid w:val="3E4E3B22"/>
    <w:rsid w:val="3E4F19F3"/>
    <w:rsid w:val="3E507983"/>
    <w:rsid w:val="3E5206B9"/>
    <w:rsid w:val="3E69420B"/>
    <w:rsid w:val="3E6B5B61"/>
    <w:rsid w:val="3E6F71C7"/>
    <w:rsid w:val="3E7277FE"/>
    <w:rsid w:val="3E801B2C"/>
    <w:rsid w:val="3E8310FD"/>
    <w:rsid w:val="3E9C4EFD"/>
    <w:rsid w:val="3E9F04EC"/>
    <w:rsid w:val="3EA01B6F"/>
    <w:rsid w:val="3EA445F9"/>
    <w:rsid w:val="3EA75E63"/>
    <w:rsid w:val="3EAA0444"/>
    <w:rsid w:val="3EAA181F"/>
    <w:rsid w:val="3EB27A21"/>
    <w:rsid w:val="3EB70C7F"/>
    <w:rsid w:val="3EB85682"/>
    <w:rsid w:val="3EBA2645"/>
    <w:rsid w:val="3EC577EA"/>
    <w:rsid w:val="3ED75D30"/>
    <w:rsid w:val="3ED829A9"/>
    <w:rsid w:val="3EE411D2"/>
    <w:rsid w:val="3EF14ACA"/>
    <w:rsid w:val="3EF473A9"/>
    <w:rsid w:val="3F00259A"/>
    <w:rsid w:val="3F0546A2"/>
    <w:rsid w:val="3F065FFF"/>
    <w:rsid w:val="3F076BBF"/>
    <w:rsid w:val="3F0959BA"/>
    <w:rsid w:val="3F0C212E"/>
    <w:rsid w:val="3F1447DE"/>
    <w:rsid w:val="3F190735"/>
    <w:rsid w:val="3F1C1C05"/>
    <w:rsid w:val="3F2408A7"/>
    <w:rsid w:val="3F2569AC"/>
    <w:rsid w:val="3F2B4AFC"/>
    <w:rsid w:val="3F314641"/>
    <w:rsid w:val="3F3348D1"/>
    <w:rsid w:val="3F50380A"/>
    <w:rsid w:val="3F535A90"/>
    <w:rsid w:val="3F575B19"/>
    <w:rsid w:val="3F606F53"/>
    <w:rsid w:val="3F6A4A29"/>
    <w:rsid w:val="3F6B3D5E"/>
    <w:rsid w:val="3F8E2235"/>
    <w:rsid w:val="3F99252F"/>
    <w:rsid w:val="3FAA4251"/>
    <w:rsid w:val="3FB051FF"/>
    <w:rsid w:val="3FB11236"/>
    <w:rsid w:val="3FB27F1F"/>
    <w:rsid w:val="3FB30EFC"/>
    <w:rsid w:val="3FB42864"/>
    <w:rsid w:val="3FB47094"/>
    <w:rsid w:val="3FBC3FE0"/>
    <w:rsid w:val="3FBE79FB"/>
    <w:rsid w:val="3FC53572"/>
    <w:rsid w:val="3FCD6996"/>
    <w:rsid w:val="3FD765A3"/>
    <w:rsid w:val="3FDF6227"/>
    <w:rsid w:val="3FFE7EE4"/>
    <w:rsid w:val="40091E74"/>
    <w:rsid w:val="40126783"/>
    <w:rsid w:val="401A1A41"/>
    <w:rsid w:val="40232B1B"/>
    <w:rsid w:val="40243B13"/>
    <w:rsid w:val="402558BD"/>
    <w:rsid w:val="402637E4"/>
    <w:rsid w:val="402B77ED"/>
    <w:rsid w:val="402F6247"/>
    <w:rsid w:val="4033445D"/>
    <w:rsid w:val="403B068A"/>
    <w:rsid w:val="403E69E7"/>
    <w:rsid w:val="40423704"/>
    <w:rsid w:val="4049079A"/>
    <w:rsid w:val="404B0FD2"/>
    <w:rsid w:val="405C5204"/>
    <w:rsid w:val="406116A1"/>
    <w:rsid w:val="4062342E"/>
    <w:rsid w:val="40694A8C"/>
    <w:rsid w:val="406C6D72"/>
    <w:rsid w:val="40730199"/>
    <w:rsid w:val="40817442"/>
    <w:rsid w:val="40860D2F"/>
    <w:rsid w:val="40865477"/>
    <w:rsid w:val="40A92B62"/>
    <w:rsid w:val="40B4256A"/>
    <w:rsid w:val="40BA1DF5"/>
    <w:rsid w:val="40BB3E1E"/>
    <w:rsid w:val="40C0664B"/>
    <w:rsid w:val="40C536D2"/>
    <w:rsid w:val="40CC1878"/>
    <w:rsid w:val="40D12609"/>
    <w:rsid w:val="40D64374"/>
    <w:rsid w:val="40DF677E"/>
    <w:rsid w:val="40EF0187"/>
    <w:rsid w:val="40F402FB"/>
    <w:rsid w:val="40F73881"/>
    <w:rsid w:val="40FA345D"/>
    <w:rsid w:val="40FD0117"/>
    <w:rsid w:val="40FE0346"/>
    <w:rsid w:val="40FE193A"/>
    <w:rsid w:val="40FE62B7"/>
    <w:rsid w:val="40FE6AE7"/>
    <w:rsid w:val="410445F8"/>
    <w:rsid w:val="4105701A"/>
    <w:rsid w:val="410842FA"/>
    <w:rsid w:val="411364B5"/>
    <w:rsid w:val="411C0799"/>
    <w:rsid w:val="411E5886"/>
    <w:rsid w:val="41241B4A"/>
    <w:rsid w:val="412C7748"/>
    <w:rsid w:val="41301873"/>
    <w:rsid w:val="413318D6"/>
    <w:rsid w:val="413B0798"/>
    <w:rsid w:val="413C3F5B"/>
    <w:rsid w:val="413F393E"/>
    <w:rsid w:val="414803DC"/>
    <w:rsid w:val="4154186A"/>
    <w:rsid w:val="41557E94"/>
    <w:rsid w:val="415918D2"/>
    <w:rsid w:val="415C7914"/>
    <w:rsid w:val="416318FC"/>
    <w:rsid w:val="41661BEF"/>
    <w:rsid w:val="416E620B"/>
    <w:rsid w:val="417A0D9D"/>
    <w:rsid w:val="41823048"/>
    <w:rsid w:val="41852C46"/>
    <w:rsid w:val="418C02C8"/>
    <w:rsid w:val="41961A39"/>
    <w:rsid w:val="419929E5"/>
    <w:rsid w:val="41A95A7A"/>
    <w:rsid w:val="41AC2719"/>
    <w:rsid w:val="41B34B3E"/>
    <w:rsid w:val="41B555C2"/>
    <w:rsid w:val="41C656C7"/>
    <w:rsid w:val="41CA3266"/>
    <w:rsid w:val="41CA433A"/>
    <w:rsid w:val="41CB7A15"/>
    <w:rsid w:val="41D467B2"/>
    <w:rsid w:val="41E0709B"/>
    <w:rsid w:val="42076E7F"/>
    <w:rsid w:val="421166C0"/>
    <w:rsid w:val="42216B21"/>
    <w:rsid w:val="422345F0"/>
    <w:rsid w:val="42240501"/>
    <w:rsid w:val="42365F93"/>
    <w:rsid w:val="42372A8F"/>
    <w:rsid w:val="42373D93"/>
    <w:rsid w:val="42392A23"/>
    <w:rsid w:val="42423AD2"/>
    <w:rsid w:val="4259117B"/>
    <w:rsid w:val="42597579"/>
    <w:rsid w:val="425D24F5"/>
    <w:rsid w:val="42611ED8"/>
    <w:rsid w:val="42646561"/>
    <w:rsid w:val="426E63F2"/>
    <w:rsid w:val="42704408"/>
    <w:rsid w:val="42757978"/>
    <w:rsid w:val="427652FA"/>
    <w:rsid w:val="427E51EF"/>
    <w:rsid w:val="428A0662"/>
    <w:rsid w:val="428C7388"/>
    <w:rsid w:val="428E5500"/>
    <w:rsid w:val="4292379A"/>
    <w:rsid w:val="429502E0"/>
    <w:rsid w:val="42961CFB"/>
    <w:rsid w:val="429E28DE"/>
    <w:rsid w:val="42A12B79"/>
    <w:rsid w:val="42B22188"/>
    <w:rsid w:val="42B93BC3"/>
    <w:rsid w:val="42BD4EDF"/>
    <w:rsid w:val="42C30253"/>
    <w:rsid w:val="42C756D4"/>
    <w:rsid w:val="42CA2687"/>
    <w:rsid w:val="42CB054A"/>
    <w:rsid w:val="42CC5B51"/>
    <w:rsid w:val="42CD47A6"/>
    <w:rsid w:val="42D471EA"/>
    <w:rsid w:val="42D65140"/>
    <w:rsid w:val="42D9234F"/>
    <w:rsid w:val="42DC37AA"/>
    <w:rsid w:val="42DE0FF8"/>
    <w:rsid w:val="42E065E3"/>
    <w:rsid w:val="42EB6C2E"/>
    <w:rsid w:val="42EC0A5A"/>
    <w:rsid w:val="42F1079D"/>
    <w:rsid w:val="42F640FA"/>
    <w:rsid w:val="43061B86"/>
    <w:rsid w:val="430F146F"/>
    <w:rsid w:val="43131510"/>
    <w:rsid w:val="431423EB"/>
    <w:rsid w:val="431602A6"/>
    <w:rsid w:val="431B297B"/>
    <w:rsid w:val="431C0BE4"/>
    <w:rsid w:val="431F0678"/>
    <w:rsid w:val="432F403F"/>
    <w:rsid w:val="43330947"/>
    <w:rsid w:val="433867A4"/>
    <w:rsid w:val="433B1976"/>
    <w:rsid w:val="433E53FE"/>
    <w:rsid w:val="434D7B68"/>
    <w:rsid w:val="435867A8"/>
    <w:rsid w:val="43615B01"/>
    <w:rsid w:val="43630C59"/>
    <w:rsid w:val="43635D57"/>
    <w:rsid w:val="436D06DE"/>
    <w:rsid w:val="436D235C"/>
    <w:rsid w:val="437C2C15"/>
    <w:rsid w:val="437F73BB"/>
    <w:rsid w:val="4384101C"/>
    <w:rsid w:val="43896760"/>
    <w:rsid w:val="438B7368"/>
    <w:rsid w:val="438F4902"/>
    <w:rsid w:val="43A34655"/>
    <w:rsid w:val="43A674F6"/>
    <w:rsid w:val="43AA6D6A"/>
    <w:rsid w:val="43B00CC3"/>
    <w:rsid w:val="43B61E02"/>
    <w:rsid w:val="43B92334"/>
    <w:rsid w:val="43DA6355"/>
    <w:rsid w:val="43E4263E"/>
    <w:rsid w:val="43E85DD6"/>
    <w:rsid w:val="43F67090"/>
    <w:rsid w:val="440828D2"/>
    <w:rsid w:val="441C4E1D"/>
    <w:rsid w:val="4428460A"/>
    <w:rsid w:val="442B0B5B"/>
    <w:rsid w:val="44427B87"/>
    <w:rsid w:val="44466E54"/>
    <w:rsid w:val="44570B80"/>
    <w:rsid w:val="4458330A"/>
    <w:rsid w:val="445E0093"/>
    <w:rsid w:val="44624A2D"/>
    <w:rsid w:val="446977CC"/>
    <w:rsid w:val="4477174D"/>
    <w:rsid w:val="4479341A"/>
    <w:rsid w:val="447F2F7F"/>
    <w:rsid w:val="4490686C"/>
    <w:rsid w:val="44927F81"/>
    <w:rsid w:val="449F260D"/>
    <w:rsid w:val="44A45CE5"/>
    <w:rsid w:val="44A74027"/>
    <w:rsid w:val="44A93329"/>
    <w:rsid w:val="44B06B9D"/>
    <w:rsid w:val="44CF2923"/>
    <w:rsid w:val="44D25EDA"/>
    <w:rsid w:val="44DB4C85"/>
    <w:rsid w:val="44DE080D"/>
    <w:rsid w:val="44ED5ADD"/>
    <w:rsid w:val="45113C3D"/>
    <w:rsid w:val="45177E0D"/>
    <w:rsid w:val="451F2530"/>
    <w:rsid w:val="451F577B"/>
    <w:rsid w:val="45207D89"/>
    <w:rsid w:val="452157C0"/>
    <w:rsid w:val="45264C9F"/>
    <w:rsid w:val="452C59E7"/>
    <w:rsid w:val="453325E7"/>
    <w:rsid w:val="453B382A"/>
    <w:rsid w:val="453C6FD1"/>
    <w:rsid w:val="453D25B5"/>
    <w:rsid w:val="4540240F"/>
    <w:rsid w:val="45410887"/>
    <w:rsid w:val="454E2EAE"/>
    <w:rsid w:val="45520D95"/>
    <w:rsid w:val="45527BE5"/>
    <w:rsid w:val="45590872"/>
    <w:rsid w:val="455F6CDB"/>
    <w:rsid w:val="456177DE"/>
    <w:rsid w:val="4565155C"/>
    <w:rsid w:val="4569561F"/>
    <w:rsid w:val="456F6CAB"/>
    <w:rsid w:val="45734E4C"/>
    <w:rsid w:val="45737745"/>
    <w:rsid w:val="457F343A"/>
    <w:rsid w:val="458165BE"/>
    <w:rsid w:val="45826223"/>
    <w:rsid w:val="458B5959"/>
    <w:rsid w:val="458C6365"/>
    <w:rsid w:val="458E554A"/>
    <w:rsid w:val="459F11E9"/>
    <w:rsid w:val="45A118A1"/>
    <w:rsid w:val="45A920B4"/>
    <w:rsid w:val="45AA66CE"/>
    <w:rsid w:val="45B86B21"/>
    <w:rsid w:val="45BF6D20"/>
    <w:rsid w:val="45C52C8F"/>
    <w:rsid w:val="45C80DD2"/>
    <w:rsid w:val="45C92EE6"/>
    <w:rsid w:val="45D16622"/>
    <w:rsid w:val="45D65BEE"/>
    <w:rsid w:val="45D70238"/>
    <w:rsid w:val="45DA617C"/>
    <w:rsid w:val="45DF4B04"/>
    <w:rsid w:val="45E010A0"/>
    <w:rsid w:val="45E15FF8"/>
    <w:rsid w:val="45EE26AD"/>
    <w:rsid w:val="45FD00F2"/>
    <w:rsid w:val="460F5B7E"/>
    <w:rsid w:val="461050D2"/>
    <w:rsid w:val="461D096A"/>
    <w:rsid w:val="46280EFF"/>
    <w:rsid w:val="462C7FCD"/>
    <w:rsid w:val="462D4102"/>
    <w:rsid w:val="462E7147"/>
    <w:rsid w:val="46312AD7"/>
    <w:rsid w:val="46315F3A"/>
    <w:rsid w:val="46320C63"/>
    <w:rsid w:val="46321541"/>
    <w:rsid w:val="46351167"/>
    <w:rsid w:val="463753C7"/>
    <w:rsid w:val="46390D3D"/>
    <w:rsid w:val="463D4DBF"/>
    <w:rsid w:val="464942AC"/>
    <w:rsid w:val="46535859"/>
    <w:rsid w:val="46570F92"/>
    <w:rsid w:val="46601D24"/>
    <w:rsid w:val="466519AD"/>
    <w:rsid w:val="466B7CC7"/>
    <w:rsid w:val="466E6EC9"/>
    <w:rsid w:val="467201E1"/>
    <w:rsid w:val="467903E3"/>
    <w:rsid w:val="468033D2"/>
    <w:rsid w:val="46815CEC"/>
    <w:rsid w:val="468225F1"/>
    <w:rsid w:val="469F7FF5"/>
    <w:rsid w:val="46A35867"/>
    <w:rsid w:val="46A47EC4"/>
    <w:rsid w:val="46A616B2"/>
    <w:rsid w:val="46B922C0"/>
    <w:rsid w:val="46BF3483"/>
    <w:rsid w:val="46C465AE"/>
    <w:rsid w:val="46CF4F0F"/>
    <w:rsid w:val="46D41B1D"/>
    <w:rsid w:val="46DA7ED7"/>
    <w:rsid w:val="46DF2C7E"/>
    <w:rsid w:val="46E36784"/>
    <w:rsid w:val="46EB21EC"/>
    <w:rsid w:val="46EC77B5"/>
    <w:rsid w:val="46F37DFE"/>
    <w:rsid w:val="46F74F9C"/>
    <w:rsid w:val="46F83FA8"/>
    <w:rsid w:val="46F85927"/>
    <w:rsid w:val="47062BA7"/>
    <w:rsid w:val="471264E5"/>
    <w:rsid w:val="471445E6"/>
    <w:rsid w:val="472E243B"/>
    <w:rsid w:val="47363703"/>
    <w:rsid w:val="474E45E5"/>
    <w:rsid w:val="475C073D"/>
    <w:rsid w:val="47602729"/>
    <w:rsid w:val="47624137"/>
    <w:rsid w:val="47641E8C"/>
    <w:rsid w:val="47691B0B"/>
    <w:rsid w:val="476C33AD"/>
    <w:rsid w:val="476F38E9"/>
    <w:rsid w:val="476F5B16"/>
    <w:rsid w:val="477058D9"/>
    <w:rsid w:val="47797A97"/>
    <w:rsid w:val="477F0C44"/>
    <w:rsid w:val="47977BCB"/>
    <w:rsid w:val="479E5EF8"/>
    <w:rsid w:val="479F7E9E"/>
    <w:rsid w:val="47BC7F6C"/>
    <w:rsid w:val="47BE4BED"/>
    <w:rsid w:val="47C03731"/>
    <w:rsid w:val="47C12209"/>
    <w:rsid w:val="47C318F1"/>
    <w:rsid w:val="47C474D1"/>
    <w:rsid w:val="47D30E78"/>
    <w:rsid w:val="47DD1308"/>
    <w:rsid w:val="47EA6D38"/>
    <w:rsid w:val="47F57D31"/>
    <w:rsid w:val="47FA202E"/>
    <w:rsid w:val="47FC4722"/>
    <w:rsid w:val="4800686B"/>
    <w:rsid w:val="48021D28"/>
    <w:rsid w:val="48040156"/>
    <w:rsid w:val="480647A8"/>
    <w:rsid w:val="480800B1"/>
    <w:rsid w:val="48262566"/>
    <w:rsid w:val="482F3B2A"/>
    <w:rsid w:val="483B487E"/>
    <w:rsid w:val="483E2B2F"/>
    <w:rsid w:val="48434BCD"/>
    <w:rsid w:val="48486B1C"/>
    <w:rsid w:val="48496DD3"/>
    <w:rsid w:val="485B09F4"/>
    <w:rsid w:val="485D5BE1"/>
    <w:rsid w:val="486804BB"/>
    <w:rsid w:val="48686D9B"/>
    <w:rsid w:val="486C0C47"/>
    <w:rsid w:val="487B37BD"/>
    <w:rsid w:val="487B4904"/>
    <w:rsid w:val="487F4A93"/>
    <w:rsid w:val="48835DEE"/>
    <w:rsid w:val="48867DA4"/>
    <w:rsid w:val="48905880"/>
    <w:rsid w:val="48990868"/>
    <w:rsid w:val="489A0EA0"/>
    <w:rsid w:val="489B274E"/>
    <w:rsid w:val="48A2067C"/>
    <w:rsid w:val="48B21662"/>
    <w:rsid w:val="48B452F1"/>
    <w:rsid w:val="48B57117"/>
    <w:rsid w:val="48B62611"/>
    <w:rsid w:val="48B70A31"/>
    <w:rsid w:val="48C25450"/>
    <w:rsid w:val="48C36663"/>
    <w:rsid w:val="48C6144D"/>
    <w:rsid w:val="48CE66AC"/>
    <w:rsid w:val="48D11B2D"/>
    <w:rsid w:val="48D51986"/>
    <w:rsid w:val="48DC5C71"/>
    <w:rsid w:val="48DD3A14"/>
    <w:rsid w:val="48E547F6"/>
    <w:rsid w:val="48F876FD"/>
    <w:rsid w:val="490610F9"/>
    <w:rsid w:val="490F4B32"/>
    <w:rsid w:val="490F58C6"/>
    <w:rsid w:val="49142911"/>
    <w:rsid w:val="491E096E"/>
    <w:rsid w:val="49217945"/>
    <w:rsid w:val="492265F0"/>
    <w:rsid w:val="492F0662"/>
    <w:rsid w:val="493D6694"/>
    <w:rsid w:val="494E2705"/>
    <w:rsid w:val="495A0CAC"/>
    <w:rsid w:val="495F4B35"/>
    <w:rsid w:val="49692C68"/>
    <w:rsid w:val="496A27D1"/>
    <w:rsid w:val="496D099D"/>
    <w:rsid w:val="497313B8"/>
    <w:rsid w:val="497560F3"/>
    <w:rsid w:val="497A4893"/>
    <w:rsid w:val="49850B85"/>
    <w:rsid w:val="498C14EB"/>
    <w:rsid w:val="498C75F4"/>
    <w:rsid w:val="49944CD5"/>
    <w:rsid w:val="499D1C90"/>
    <w:rsid w:val="499E4460"/>
    <w:rsid w:val="49A62143"/>
    <w:rsid w:val="49AB4E75"/>
    <w:rsid w:val="49AD56B7"/>
    <w:rsid w:val="49C003CA"/>
    <w:rsid w:val="49C0302A"/>
    <w:rsid w:val="49C93606"/>
    <w:rsid w:val="49D07BB1"/>
    <w:rsid w:val="49D77125"/>
    <w:rsid w:val="49DC0AA8"/>
    <w:rsid w:val="49E43969"/>
    <w:rsid w:val="49E648B1"/>
    <w:rsid w:val="49EB05AB"/>
    <w:rsid w:val="49ED0A3E"/>
    <w:rsid w:val="49F04B16"/>
    <w:rsid w:val="4A007222"/>
    <w:rsid w:val="4A01558D"/>
    <w:rsid w:val="4A1149A0"/>
    <w:rsid w:val="4A123335"/>
    <w:rsid w:val="4A1E37FC"/>
    <w:rsid w:val="4A226EE2"/>
    <w:rsid w:val="4A29342D"/>
    <w:rsid w:val="4A295F39"/>
    <w:rsid w:val="4A2D69E8"/>
    <w:rsid w:val="4A43126C"/>
    <w:rsid w:val="4A515BF4"/>
    <w:rsid w:val="4A567752"/>
    <w:rsid w:val="4A596637"/>
    <w:rsid w:val="4A5C6C8F"/>
    <w:rsid w:val="4A613B01"/>
    <w:rsid w:val="4A625E46"/>
    <w:rsid w:val="4A636CE3"/>
    <w:rsid w:val="4A7E46F2"/>
    <w:rsid w:val="4A81344D"/>
    <w:rsid w:val="4A895012"/>
    <w:rsid w:val="4A8D0DD3"/>
    <w:rsid w:val="4A945627"/>
    <w:rsid w:val="4A951B1E"/>
    <w:rsid w:val="4A965704"/>
    <w:rsid w:val="4AA5064D"/>
    <w:rsid w:val="4AB44F7E"/>
    <w:rsid w:val="4AB80574"/>
    <w:rsid w:val="4ABE5C0C"/>
    <w:rsid w:val="4AC673A4"/>
    <w:rsid w:val="4ACB4F1B"/>
    <w:rsid w:val="4ACF4B3D"/>
    <w:rsid w:val="4AD11F1B"/>
    <w:rsid w:val="4AD85037"/>
    <w:rsid w:val="4AD954F2"/>
    <w:rsid w:val="4AE91A02"/>
    <w:rsid w:val="4AEB7694"/>
    <w:rsid w:val="4AEF798C"/>
    <w:rsid w:val="4AF4277E"/>
    <w:rsid w:val="4B0048B4"/>
    <w:rsid w:val="4B036599"/>
    <w:rsid w:val="4B040598"/>
    <w:rsid w:val="4B0601EA"/>
    <w:rsid w:val="4B075778"/>
    <w:rsid w:val="4B0923DA"/>
    <w:rsid w:val="4B0B4411"/>
    <w:rsid w:val="4B0F2F71"/>
    <w:rsid w:val="4B1727B0"/>
    <w:rsid w:val="4B2257F9"/>
    <w:rsid w:val="4B2C0426"/>
    <w:rsid w:val="4B2D0151"/>
    <w:rsid w:val="4B2E2DC3"/>
    <w:rsid w:val="4B337A07"/>
    <w:rsid w:val="4B4651FF"/>
    <w:rsid w:val="4B4C2FC7"/>
    <w:rsid w:val="4B5D1DE1"/>
    <w:rsid w:val="4B6253AE"/>
    <w:rsid w:val="4B661522"/>
    <w:rsid w:val="4B6F0996"/>
    <w:rsid w:val="4B795A33"/>
    <w:rsid w:val="4B7E44A0"/>
    <w:rsid w:val="4B7F6A76"/>
    <w:rsid w:val="4B8301A6"/>
    <w:rsid w:val="4B8C1706"/>
    <w:rsid w:val="4B8C4C2B"/>
    <w:rsid w:val="4B8D6FD5"/>
    <w:rsid w:val="4B8F2C6F"/>
    <w:rsid w:val="4B9D78A2"/>
    <w:rsid w:val="4BAD5E9E"/>
    <w:rsid w:val="4BAD7ED2"/>
    <w:rsid w:val="4BB61B36"/>
    <w:rsid w:val="4BBC11C4"/>
    <w:rsid w:val="4BC45535"/>
    <w:rsid w:val="4BC50855"/>
    <w:rsid w:val="4BC95F58"/>
    <w:rsid w:val="4BCA3A01"/>
    <w:rsid w:val="4BCE4354"/>
    <w:rsid w:val="4BDA791F"/>
    <w:rsid w:val="4BDC2FF1"/>
    <w:rsid w:val="4BE466F6"/>
    <w:rsid w:val="4BE932FD"/>
    <w:rsid w:val="4BEE79CF"/>
    <w:rsid w:val="4BF24DA7"/>
    <w:rsid w:val="4BF33D0B"/>
    <w:rsid w:val="4BF47E4F"/>
    <w:rsid w:val="4BF5094B"/>
    <w:rsid w:val="4BFA2679"/>
    <w:rsid w:val="4C0F6928"/>
    <w:rsid w:val="4C115F9A"/>
    <w:rsid w:val="4C207F8B"/>
    <w:rsid w:val="4C29659D"/>
    <w:rsid w:val="4C3D4E1E"/>
    <w:rsid w:val="4C3E34B4"/>
    <w:rsid w:val="4C431EB0"/>
    <w:rsid w:val="4C446BC7"/>
    <w:rsid w:val="4C4D6433"/>
    <w:rsid w:val="4C507D41"/>
    <w:rsid w:val="4C562C0B"/>
    <w:rsid w:val="4C5B0FC3"/>
    <w:rsid w:val="4C5B5519"/>
    <w:rsid w:val="4C617008"/>
    <w:rsid w:val="4C6238BF"/>
    <w:rsid w:val="4C632860"/>
    <w:rsid w:val="4C6C4102"/>
    <w:rsid w:val="4C83316E"/>
    <w:rsid w:val="4C835447"/>
    <w:rsid w:val="4C874216"/>
    <w:rsid w:val="4C876326"/>
    <w:rsid w:val="4C8D6A9A"/>
    <w:rsid w:val="4C8E2C77"/>
    <w:rsid w:val="4C903F19"/>
    <w:rsid w:val="4C952F39"/>
    <w:rsid w:val="4C96237B"/>
    <w:rsid w:val="4C9B5863"/>
    <w:rsid w:val="4CAD2152"/>
    <w:rsid w:val="4CAF1E04"/>
    <w:rsid w:val="4CB05C80"/>
    <w:rsid w:val="4CD040CC"/>
    <w:rsid w:val="4CD062D0"/>
    <w:rsid w:val="4CD140B8"/>
    <w:rsid w:val="4CD17817"/>
    <w:rsid w:val="4CD23BCF"/>
    <w:rsid w:val="4CE16353"/>
    <w:rsid w:val="4CE448BA"/>
    <w:rsid w:val="4CE97F8D"/>
    <w:rsid w:val="4CF77A55"/>
    <w:rsid w:val="4CFB0B28"/>
    <w:rsid w:val="4D161561"/>
    <w:rsid w:val="4D2070CC"/>
    <w:rsid w:val="4D3B25FD"/>
    <w:rsid w:val="4D3C3622"/>
    <w:rsid w:val="4D3D4961"/>
    <w:rsid w:val="4D3D6709"/>
    <w:rsid w:val="4D4245E2"/>
    <w:rsid w:val="4D486523"/>
    <w:rsid w:val="4D513FA5"/>
    <w:rsid w:val="4D515580"/>
    <w:rsid w:val="4D5314AD"/>
    <w:rsid w:val="4D537332"/>
    <w:rsid w:val="4D54014F"/>
    <w:rsid w:val="4D61646C"/>
    <w:rsid w:val="4D6263C7"/>
    <w:rsid w:val="4D6F4EF6"/>
    <w:rsid w:val="4D8206ED"/>
    <w:rsid w:val="4D821513"/>
    <w:rsid w:val="4D831AD4"/>
    <w:rsid w:val="4D8766DC"/>
    <w:rsid w:val="4D8C49A8"/>
    <w:rsid w:val="4D913543"/>
    <w:rsid w:val="4D966500"/>
    <w:rsid w:val="4D9D5E88"/>
    <w:rsid w:val="4D9F1E30"/>
    <w:rsid w:val="4DA16D79"/>
    <w:rsid w:val="4DAB1AD6"/>
    <w:rsid w:val="4DC35159"/>
    <w:rsid w:val="4DCF7EBB"/>
    <w:rsid w:val="4DD22037"/>
    <w:rsid w:val="4DD25197"/>
    <w:rsid w:val="4DDC53F2"/>
    <w:rsid w:val="4DDE589B"/>
    <w:rsid w:val="4DDF28D3"/>
    <w:rsid w:val="4DE5201D"/>
    <w:rsid w:val="4DEF230B"/>
    <w:rsid w:val="4DF532AB"/>
    <w:rsid w:val="4DF97DE2"/>
    <w:rsid w:val="4DFC78CA"/>
    <w:rsid w:val="4DFD35EC"/>
    <w:rsid w:val="4E017183"/>
    <w:rsid w:val="4E032325"/>
    <w:rsid w:val="4E0D35AA"/>
    <w:rsid w:val="4E2A0527"/>
    <w:rsid w:val="4E33257D"/>
    <w:rsid w:val="4E333C46"/>
    <w:rsid w:val="4E3B2BE1"/>
    <w:rsid w:val="4E416A7A"/>
    <w:rsid w:val="4E447044"/>
    <w:rsid w:val="4E48074C"/>
    <w:rsid w:val="4E4A5093"/>
    <w:rsid w:val="4E4F2DA9"/>
    <w:rsid w:val="4E5E59DD"/>
    <w:rsid w:val="4E5E661B"/>
    <w:rsid w:val="4E620366"/>
    <w:rsid w:val="4E651512"/>
    <w:rsid w:val="4E695272"/>
    <w:rsid w:val="4E6F037B"/>
    <w:rsid w:val="4E6F55CD"/>
    <w:rsid w:val="4E7143D3"/>
    <w:rsid w:val="4E7E3212"/>
    <w:rsid w:val="4E837E95"/>
    <w:rsid w:val="4E8975ED"/>
    <w:rsid w:val="4E8F034E"/>
    <w:rsid w:val="4E9247B4"/>
    <w:rsid w:val="4E930CD6"/>
    <w:rsid w:val="4EA7025D"/>
    <w:rsid w:val="4EAA6B93"/>
    <w:rsid w:val="4EC36B26"/>
    <w:rsid w:val="4EC638CE"/>
    <w:rsid w:val="4EC87FC1"/>
    <w:rsid w:val="4ECA4018"/>
    <w:rsid w:val="4ECD1F20"/>
    <w:rsid w:val="4ED00327"/>
    <w:rsid w:val="4ED07800"/>
    <w:rsid w:val="4EE641CA"/>
    <w:rsid w:val="4EFA7FE6"/>
    <w:rsid w:val="4EFE2B22"/>
    <w:rsid w:val="4EFE37BE"/>
    <w:rsid w:val="4F010A31"/>
    <w:rsid w:val="4F0F2539"/>
    <w:rsid w:val="4F0F3ACE"/>
    <w:rsid w:val="4F1638C7"/>
    <w:rsid w:val="4F171681"/>
    <w:rsid w:val="4F200AC9"/>
    <w:rsid w:val="4F2F5015"/>
    <w:rsid w:val="4F4132A3"/>
    <w:rsid w:val="4F4340B8"/>
    <w:rsid w:val="4F4E4E0F"/>
    <w:rsid w:val="4F525EE7"/>
    <w:rsid w:val="4F636034"/>
    <w:rsid w:val="4F721117"/>
    <w:rsid w:val="4F7259BA"/>
    <w:rsid w:val="4F734DE4"/>
    <w:rsid w:val="4F773B1F"/>
    <w:rsid w:val="4F7F372A"/>
    <w:rsid w:val="4F817477"/>
    <w:rsid w:val="4F83345C"/>
    <w:rsid w:val="4F86500C"/>
    <w:rsid w:val="4F871A6B"/>
    <w:rsid w:val="4F8A0BB3"/>
    <w:rsid w:val="4F9B6568"/>
    <w:rsid w:val="4F9C201E"/>
    <w:rsid w:val="4F9F4C3F"/>
    <w:rsid w:val="4FA27874"/>
    <w:rsid w:val="4FB17DEE"/>
    <w:rsid w:val="4FB54F7D"/>
    <w:rsid w:val="4FB77261"/>
    <w:rsid w:val="4FB8447E"/>
    <w:rsid w:val="4FBB3096"/>
    <w:rsid w:val="4FCE5F50"/>
    <w:rsid w:val="4FD44FF0"/>
    <w:rsid w:val="4FD60EC2"/>
    <w:rsid w:val="4FD62E34"/>
    <w:rsid w:val="4FE028C1"/>
    <w:rsid w:val="4FE03C75"/>
    <w:rsid w:val="4FE700D4"/>
    <w:rsid w:val="4FEC3BBD"/>
    <w:rsid w:val="4FF67978"/>
    <w:rsid w:val="50007ACD"/>
    <w:rsid w:val="50027323"/>
    <w:rsid w:val="5004744D"/>
    <w:rsid w:val="500844A3"/>
    <w:rsid w:val="50145E25"/>
    <w:rsid w:val="50153B7F"/>
    <w:rsid w:val="501A2F43"/>
    <w:rsid w:val="501F240C"/>
    <w:rsid w:val="502C612A"/>
    <w:rsid w:val="502F4C40"/>
    <w:rsid w:val="5044513F"/>
    <w:rsid w:val="5046087D"/>
    <w:rsid w:val="50462BD5"/>
    <w:rsid w:val="504A75A2"/>
    <w:rsid w:val="505105DC"/>
    <w:rsid w:val="50566B1D"/>
    <w:rsid w:val="505D74AB"/>
    <w:rsid w:val="505E1C29"/>
    <w:rsid w:val="505E4AA0"/>
    <w:rsid w:val="50706C7D"/>
    <w:rsid w:val="507748F8"/>
    <w:rsid w:val="507C3BAC"/>
    <w:rsid w:val="50890B82"/>
    <w:rsid w:val="5094443E"/>
    <w:rsid w:val="509863E6"/>
    <w:rsid w:val="50A55A2B"/>
    <w:rsid w:val="50BC3FFA"/>
    <w:rsid w:val="50BE7D72"/>
    <w:rsid w:val="50CA3AF6"/>
    <w:rsid w:val="50CA77C7"/>
    <w:rsid w:val="50D2312A"/>
    <w:rsid w:val="50D406A1"/>
    <w:rsid w:val="50DD3184"/>
    <w:rsid w:val="50E16817"/>
    <w:rsid w:val="50E41E2A"/>
    <w:rsid w:val="50F26FE9"/>
    <w:rsid w:val="50F4705A"/>
    <w:rsid w:val="50FD06D0"/>
    <w:rsid w:val="50FE6E5D"/>
    <w:rsid w:val="51055A2B"/>
    <w:rsid w:val="51113EA3"/>
    <w:rsid w:val="51133E7B"/>
    <w:rsid w:val="51152CCE"/>
    <w:rsid w:val="511735C3"/>
    <w:rsid w:val="51204827"/>
    <w:rsid w:val="512A4B08"/>
    <w:rsid w:val="512B30E0"/>
    <w:rsid w:val="51376E7E"/>
    <w:rsid w:val="51432D4D"/>
    <w:rsid w:val="51525CA7"/>
    <w:rsid w:val="515C53DA"/>
    <w:rsid w:val="515D1E1B"/>
    <w:rsid w:val="515E2DB2"/>
    <w:rsid w:val="516C2621"/>
    <w:rsid w:val="5170214B"/>
    <w:rsid w:val="5179383A"/>
    <w:rsid w:val="517D2D78"/>
    <w:rsid w:val="517F4690"/>
    <w:rsid w:val="51813039"/>
    <w:rsid w:val="518B52EC"/>
    <w:rsid w:val="518B6F82"/>
    <w:rsid w:val="51906616"/>
    <w:rsid w:val="519945F5"/>
    <w:rsid w:val="519B1E46"/>
    <w:rsid w:val="51A46E58"/>
    <w:rsid w:val="51B579BE"/>
    <w:rsid w:val="51C32EB4"/>
    <w:rsid w:val="51C6703A"/>
    <w:rsid w:val="51E5034A"/>
    <w:rsid w:val="51E57E9A"/>
    <w:rsid w:val="51EA2C68"/>
    <w:rsid w:val="51FC406C"/>
    <w:rsid w:val="51FE4367"/>
    <w:rsid w:val="52001828"/>
    <w:rsid w:val="52006080"/>
    <w:rsid w:val="52013F96"/>
    <w:rsid w:val="52030A90"/>
    <w:rsid w:val="52076C19"/>
    <w:rsid w:val="52076C21"/>
    <w:rsid w:val="52174382"/>
    <w:rsid w:val="52193D00"/>
    <w:rsid w:val="521D6044"/>
    <w:rsid w:val="52215F16"/>
    <w:rsid w:val="5228233D"/>
    <w:rsid w:val="52323423"/>
    <w:rsid w:val="523E1797"/>
    <w:rsid w:val="523E3881"/>
    <w:rsid w:val="52403DED"/>
    <w:rsid w:val="52407B05"/>
    <w:rsid w:val="5248135D"/>
    <w:rsid w:val="524D6356"/>
    <w:rsid w:val="524E2665"/>
    <w:rsid w:val="524F1299"/>
    <w:rsid w:val="52554002"/>
    <w:rsid w:val="525A7251"/>
    <w:rsid w:val="525E5F48"/>
    <w:rsid w:val="52634204"/>
    <w:rsid w:val="526C5FDF"/>
    <w:rsid w:val="526E03CA"/>
    <w:rsid w:val="52733805"/>
    <w:rsid w:val="527345B5"/>
    <w:rsid w:val="5274108B"/>
    <w:rsid w:val="527728CF"/>
    <w:rsid w:val="527A1763"/>
    <w:rsid w:val="52814974"/>
    <w:rsid w:val="52895A84"/>
    <w:rsid w:val="529915FB"/>
    <w:rsid w:val="529B512E"/>
    <w:rsid w:val="52A77994"/>
    <w:rsid w:val="52AA15AC"/>
    <w:rsid w:val="52B8234A"/>
    <w:rsid w:val="52BB6979"/>
    <w:rsid w:val="52BC6E98"/>
    <w:rsid w:val="52BD0965"/>
    <w:rsid w:val="52C5064B"/>
    <w:rsid w:val="52CB1BF4"/>
    <w:rsid w:val="52CB63F2"/>
    <w:rsid w:val="52CC73E4"/>
    <w:rsid w:val="52CF7494"/>
    <w:rsid w:val="52E57606"/>
    <w:rsid w:val="52F13AC9"/>
    <w:rsid w:val="52F23CDF"/>
    <w:rsid w:val="52F3634C"/>
    <w:rsid w:val="52F43A3A"/>
    <w:rsid w:val="52FD1A0F"/>
    <w:rsid w:val="530144A1"/>
    <w:rsid w:val="5302022C"/>
    <w:rsid w:val="530A729F"/>
    <w:rsid w:val="531024D6"/>
    <w:rsid w:val="5311128C"/>
    <w:rsid w:val="531558CD"/>
    <w:rsid w:val="53164CBF"/>
    <w:rsid w:val="531D2FD7"/>
    <w:rsid w:val="53200285"/>
    <w:rsid w:val="53267356"/>
    <w:rsid w:val="532944E2"/>
    <w:rsid w:val="532B0431"/>
    <w:rsid w:val="53302F3F"/>
    <w:rsid w:val="533A654B"/>
    <w:rsid w:val="533F046D"/>
    <w:rsid w:val="53427F14"/>
    <w:rsid w:val="534D6832"/>
    <w:rsid w:val="535064A9"/>
    <w:rsid w:val="53544145"/>
    <w:rsid w:val="53564B70"/>
    <w:rsid w:val="535B06A1"/>
    <w:rsid w:val="535C225A"/>
    <w:rsid w:val="535D78B9"/>
    <w:rsid w:val="535F0837"/>
    <w:rsid w:val="53660078"/>
    <w:rsid w:val="536D782E"/>
    <w:rsid w:val="536F2667"/>
    <w:rsid w:val="538232DE"/>
    <w:rsid w:val="5382548F"/>
    <w:rsid w:val="53877F2D"/>
    <w:rsid w:val="53885630"/>
    <w:rsid w:val="53961AA0"/>
    <w:rsid w:val="539A54F0"/>
    <w:rsid w:val="539E2441"/>
    <w:rsid w:val="539E3308"/>
    <w:rsid w:val="53A500A7"/>
    <w:rsid w:val="53A90BC8"/>
    <w:rsid w:val="53B4256A"/>
    <w:rsid w:val="53B50EF0"/>
    <w:rsid w:val="53C52A01"/>
    <w:rsid w:val="53C74402"/>
    <w:rsid w:val="53D43645"/>
    <w:rsid w:val="53DD31FA"/>
    <w:rsid w:val="53EA7454"/>
    <w:rsid w:val="53EE1044"/>
    <w:rsid w:val="53EE1980"/>
    <w:rsid w:val="53FD1926"/>
    <w:rsid w:val="54046F58"/>
    <w:rsid w:val="541B1001"/>
    <w:rsid w:val="541C0FC9"/>
    <w:rsid w:val="5423199F"/>
    <w:rsid w:val="542F6FA5"/>
    <w:rsid w:val="54336AAB"/>
    <w:rsid w:val="54337DF8"/>
    <w:rsid w:val="543B0C43"/>
    <w:rsid w:val="543B4F7A"/>
    <w:rsid w:val="543F37B8"/>
    <w:rsid w:val="544036EB"/>
    <w:rsid w:val="54470317"/>
    <w:rsid w:val="544B4780"/>
    <w:rsid w:val="54551B98"/>
    <w:rsid w:val="54566595"/>
    <w:rsid w:val="5458661A"/>
    <w:rsid w:val="54613836"/>
    <w:rsid w:val="54643F56"/>
    <w:rsid w:val="54671A8A"/>
    <w:rsid w:val="547D1BFF"/>
    <w:rsid w:val="54903A6F"/>
    <w:rsid w:val="54923A34"/>
    <w:rsid w:val="549D3C72"/>
    <w:rsid w:val="549F3F49"/>
    <w:rsid w:val="54A933C5"/>
    <w:rsid w:val="54AD75D9"/>
    <w:rsid w:val="54BE6593"/>
    <w:rsid w:val="54CC0271"/>
    <w:rsid w:val="54CE480A"/>
    <w:rsid w:val="54D51326"/>
    <w:rsid w:val="54D8321F"/>
    <w:rsid w:val="54EA03CE"/>
    <w:rsid w:val="54EB5B29"/>
    <w:rsid w:val="54F4342E"/>
    <w:rsid w:val="54F529AE"/>
    <w:rsid w:val="55003925"/>
    <w:rsid w:val="55013E36"/>
    <w:rsid w:val="550862CD"/>
    <w:rsid w:val="551425EE"/>
    <w:rsid w:val="55142817"/>
    <w:rsid w:val="55216A52"/>
    <w:rsid w:val="552763F1"/>
    <w:rsid w:val="55280593"/>
    <w:rsid w:val="55340CC8"/>
    <w:rsid w:val="553F7C01"/>
    <w:rsid w:val="55405D73"/>
    <w:rsid w:val="554131E3"/>
    <w:rsid w:val="554A50BF"/>
    <w:rsid w:val="55517BD1"/>
    <w:rsid w:val="55552F3F"/>
    <w:rsid w:val="5558401E"/>
    <w:rsid w:val="555935CA"/>
    <w:rsid w:val="555A5A9F"/>
    <w:rsid w:val="55607589"/>
    <w:rsid w:val="55654762"/>
    <w:rsid w:val="55654F69"/>
    <w:rsid w:val="556844BB"/>
    <w:rsid w:val="556A1F5E"/>
    <w:rsid w:val="556F31CD"/>
    <w:rsid w:val="5576109F"/>
    <w:rsid w:val="557B4833"/>
    <w:rsid w:val="55803F29"/>
    <w:rsid w:val="55880C8B"/>
    <w:rsid w:val="558F3B1D"/>
    <w:rsid w:val="55912F8A"/>
    <w:rsid w:val="5595284A"/>
    <w:rsid w:val="559855AE"/>
    <w:rsid w:val="55A5419B"/>
    <w:rsid w:val="55AA4D69"/>
    <w:rsid w:val="55AD5D5B"/>
    <w:rsid w:val="55B66AC1"/>
    <w:rsid w:val="55BF6060"/>
    <w:rsid w:val="55CD0D06"/>
    <w:rsid w:val="55CD67F4"/>
    <w:rsid w:val="55CF10ED"/>
    <w:rsid w:val="55D64741"/>
    <w:rsid w:val="55DF0CE7"/>
    <w:rsid w:val="55DF4A13"/>
    <w:rsid w:val="55E520C6"/>
    <w:rsid w:val="55E53FF3"/>
    <w:rsid w:val="55E73257"/>
    <w:rsid w:val="55EE1CB8"/>
    <w:rsid w:val="55EF6E31"/>
    <w:rsid w:val="55F26BB2"/>
    <w:rsid w:val="55F34010"/>
    <w:rsid w:val="560716CE"/>
    <w:rsid w:val="560C1BD0"/>
    <w:rsid w:val="560C654C"/>
    <w:rsid w:val="5615446B"/>
    <w:rsid w:val="56155968"/>
    <w:rsid w:val="5616744A"/>
    <w:rsid w:val="56247CC9"/>
    <w:rsid w:val="562A74C5"/>
    <w:rsid w:val="562B760B"/>
    <w:rsid w:val="562D2727"/>
    <w:rsid w:val="563505D3"/>
    <w:rsid w:val="564116CE"/>
    <w:rsid w:val="564147C6"/>
    <w:rsid w:val="564D5F5E"/>
    <w:rsid w:val="564E2065"/>
    <w:rsid w:val="565B61C5"/>
    <w:rsid w:val="56687E52"/>
    <w:rsid w:val="566C4BDB"/>
    <w:rsid w:val="566E7CB9"/>
    <w:rsid w:val="56706F87"/>
    <w:rsid w:val="56710A3A"/>
    <w:rsid w:val="567333AD"/>
    <w:rsid w:val="56840810"/>
    <w:rsid w:val="568563B4"/>
    <w:rsid w:val="56963081"/>
    <w:rsid w:val="569916B4"/>
    <w:rsid w:val="569D042A"/>
    <w:rsid w:val="569E580D"/>
    <w:rsid w:val="56A50ADE"/>
    <w:rsid w:val="56A511BF"/>
    <w:rsid w:val="56A67F46"/>
    <w:rsid w:val="56AF0389"/>
    <w:rsid w:val="56B045CA"/>
    <w:rsid w:val="56B47E7F"/>
    <w:rsid w:val="56B63B76"/>
    <w:rsid w:val="56BA70EE"/>
    <w:rsid w:val="56C02A99"/>
    <w:rsid w:val="56CB3247"/>
    <w:rsid w:val="56D61F5D"/>
    <w:rsid w:val="56DE116E"/>
    <w:rsid w:val="56E9366F"/>
    <w:rsid w:val="56E96851"/>
    <w:rsid w:val="56EB59F5"/>
    <w:rsid w:val="56ED61D8"/>
    <w:rsid w:val="56EE121D"/>
    <w:rsid w:val="56EF0D83"/>
    <w:rsid w:val="56F328A8"/>
    <w:rsid w:val="56F52014"/>
    <w:rsid w:val="56F732F1"/>
    <w:rsid w:val="57012E26"/>
    <w:rsid w:val="57111EE0"/>
    <w:rsid w:val="5714693E"/>
    <w:rsid w:val="571474FF"/>
    <w:rsid w:val="572A5450"/>
    <w:rsid w:val="57373E4B"/>
    <w:rsid w:val="57435539"/>
    <w:rsid w:val="57494AEF"/>
    <w:rsid w:val="574A0735"/>
    <w:rsid w:val="575107B6"/>
    <w:rsid w:val="57565EDD"/>
    <w:rsid w:val="57592573"/>
    <w:rsid w:val="576A10A2"/>
    <w:rsid w:val="576A2D88"/>
    <w:rsid w:val="576B1AF9"/>
    <w:rsid w:val="576C6160"/>
    <w:rsid w:val="57742D03"/>
    <w:rsid w:val="577562D2"/>
    <w:rsid w:val="57785075"/>
    <w:rsid w:val="577B30F4"/>
    <w:rsid w:val="577B3CA6"/>
    <w:rsid w:val="578A4E52"/>
    <w:rsid w:val="578B3A99"/>
    <w:rsid w:val="57A2220C"/>
    <w:rsid w:val="57AA7EF3"/>
    <w:rsid w:val="57AC1D32"/>
    <w:rsid w:val="57AF0198"/>
    <w:rsid w:val="57B123DF"/>
    <w:rsid w:val="57BA223F"/>
    <w:rsid w:val="57BC37C2"/>
    <w:rsid w:val="57C06FA0"/>
    <w:rsid w:val="57C149E6"/>
    <w:rsid w:val="57C35E37"/>
    <w:rsid w:val="57C669A4"/>
    <w:rsid w:val="57CD747E"/>
    <w:rsid w:val="57DA3E87"/>
    <w:rsid w:val="57DB049C"/>
    <w:rsid w:val="57DB56AE"/>
    <w:rsid w:val="57E47B58"/>
    <w:rsid w:val="57E60F58"/>
    <w:rsid w:val="57E722A5"/>
    <w:rsid w:val="57E849E5"/>
    <w:rsid w:val="57E8771A"/>
    <w:rsid w:val="57EA2807"/>
    <w:rsid w:val="57EB7976"/>
    <w:rsid w:val="57F0722E"/>
    <w:rsid w:val="57FD1BC8"/>
    <w:rsid w:val="58041A30"/>
    <w:rsid w:val="580C4FD7"/>
    <w:rsid w:val="581C46CB"/>
    <w:rsid w:val="581E710E"/>
    <w:rsid w:val="582B504F"/>
    <w:rsid w:val="582C0901"/>
    <w:rsid w:val="582E2927"/>
    <w:rsid w:val="58352F18"/>
    <w:rsid w:val="583C6DAD"/>
    <w:rsid w:val="584C2A66"/>
    <w:rsid w:val="584E50C2"/>
    <w:rsid w:val="585F7F3A"/>
    <w:rsid w:val="586667FE"/>
    <w:rsid w:val="586B613D"/>
    <w:rsid w:val="58726012"/>
    <w:rsid w:val="587523C3"/>
    <w:rsid w:val="58791229"/>
    <w:rsid w:val="587A60C5"/>
    <w:rsid w:val="5880562B"/>
    <w:rsid w:val="58872F3A"/>
    <w:rsid w:val="58873FE1"/>
    <w:rsid w:val="588A1BBD"/>
    <w:rsid w:val="588A4EDD"/>
    <w:rsid w:val="58954102"/>
    <w:rsid w:val="5895642B"/>
    <w:rsid w:val="589C6A40"/>
    <w:rsid w:val="58A0165D"/>
    <w:rsid w:val="58AE77D7"/>
    <w:rsid w:val="58B13184"/>
    <w:rsid w:val="58B20DE1"/>
    <w:rsid w:val="58C50FF2"/>
    <w:rsid w:val="58CC0CBE"/>
    <w:rsid w:val="58D048DF"/>
    <w:rsid w:val="58D82A72"/>
    <w:rsid w:val="58DF65FC"/>
    <w:rsid w:val="58E90CAF"/>
    <w:rsid w:val="58EB6C84"/>
    <w:rsid w:val="58F97AD9"/>
    <w:rsid w:val="58FA3B7C"/>
    <w:rsid w:val="58FD7EFE"/>
    <w:rsid w:val="5900442C"/>
    <w:rsid w:val="59014B82"/>
    <w:rsid w:val="59061F19"/>
    <w:rsid w:val="590824D3"/>
    <w:rsid w:val="591347A3"/>
    <w:rsid w:val="5915763B"/>
    <w:rsid w:val="592002A2"/>
    <w:rsid w:val="5922011F"/>
    <w:rsid w:val="59265C99"/>
    <w:rsid w:val="5928439A"/>
    <w:rsid w:val="592B149A"/>
    <w:rsid w:val="59303E10"/>
    <w:rsid w:val="59360629"/>
    <w:rsid w:val="5938022D"/>
    <w:rsid w:val="593B5E0A"/>
    <w:rsid w:val="593F6FB3"/>
    <w:rsid w:val="59437138"/>
    <w:rsid w:val="594A08E4"/>
    <w:rsid w:val="59536104"/>
    <w:rsid w:val="5968551B"/>
    <w:rsid w:val="596E5FA8"/>
    <w:rsid w:val="59701244"/>
    <w:rsid w:val="59703FAB"/>
    <w:rsid w:val="597B2CE6"/>
    <w:rsid w:val="59843A8A"/>
    <w:rsid w:val="598F02C1"/>
    <w:rsid w:val="599939F9"/>
    <w:rsid w:val="599E16BD"/>
    <w:rsid w:val="599E77F1"/>
    <w:rsid w:val="59AC2ECA"/>
    <w:rsid w:val="59D6565A"/>
    <w:rsid w:val="59D65E81"/>
    <w:rsid w:val="59DA33D8"/>
    <w:rsid w:val="59DD1953"/>
    <w:rsid w:val="59EF1A11"/>
    <w:rsid w:val="59F17AAC"/>
    <w:rsid w:val="59F307C0"/>
    <w:rsid w:val="59F900A8"/>
    <w:rsid w:val="5A036102"/>
    <w:rsid w:val="5A102ECC"/>
    <w:rsid w:val="5A111978"/>
    <w:rsid w:val="5A286FA6"/>
    <w:rsid w:val="5A2D0FBA"/>
    <w:rsid w:val="5A321D83"/>
    <w:rsid w:val="5A371523"/>
    <w:rsid w:val="5A3E2B55"/>
    <w:rsid w:val="5A475E48"/>
    <w:rsid w:val="5A566598"/>
    <w:rsid w:val="5A5C41C9"/>
    <w:rsid w:val="5A683964"/>
    <w:rsid w:val="5A7551BF"/>
    <w:rsid w:val="5A7600F5"/>
    <w:rsid w:val="5A81176E"/>
    <w:rsid w:val="5A8F6FAF"/>
    <w:rsid w:val="5A9C70C8"/>
    <w:rsid w:val="5A9E6CE7"/>
    <w:rsid w:val="5AA3001F"/>
    <w:rsid w:val="5AA412F7"/>
    <w:rsid w:val="5AA86CED"/>
    <w:rsid w:val="5AAE0536"/>
    <w:rsid w:val="5ADA4919"/>
    <w:rsid w:val="5AE52B76"/>
    <w:rsid w:val="5AFF16B3"/>
    <w:rsid w:val="5B032C3B"/>
    <w:rsid w:val="5B1A62EE"/>
    <w:rsid w:val="5B1B0E2D"/>
    <w:rsid w:val="5B1C0624"/>
    <w:rsid w:val="5B2348F0"/>
    <w:rsid w:val="5B292334"/>
    <w:rsid w:val="5B2E3D47"/>
    <w:rsid w:val="5B355255"/>
    <w:rsid w:val="5B394074"/>
    <w:rsid w:val="5B402BAA"/>
    <w:rsid w:val="5B421BCA"/>
    <w:rsid w:val="5B472ADE"/>
    <w:rsid w:val="5B4738A1"/>
    <w:rsid w:val="5B476825"/>
    <w:rsid w:val="5B4E2D8D"/>
    <w:rsid w:val="5B4E4CAB"/>
    <w:rsid w:val="5B513BED"/>
    <w:rsid w:val="5B602514"/>
    <w:rsid w:val="5B616605"/>
    <w:rsid w:val="5B6360D9"/>
    <w:rsid w:val="5B644DB6"/>
    <w:rsid w:val="5B665C41"/>
    <w:rsid w:val="5B89372F"/>
    <w:rsid w:val="5B8A7A79"/>
    <w:rsid w:val="5B8B3F57"/>
    <w:rsid w:val="5B983D81"/>
    <w:rsid w:val="5B985858"/>
    <w:rsid w:val="5B9A581E"/>
    <w:rsid w:val="5BAB531D"/>
    <w:rsid w:val="5BB406F0"/>
    <w:rsid w:val="5BBF5860"/>
    <w:rsid w:val="5BC43642"/>
    <w:rsid w:val="5BC96BBC"/>
    <w:rsid w:val="5BD42EE7"/>
    <w:rsid w:val="5BD725DB"/>
    <w:rsid w:val="5BDB3ECE"/>
    <w:rsid w:val="5BE32393"/>
    <w:rsid w:val="5BFB3C07"/>
    <w:rsid w:val="5BFB631F"/>
    <w:rsid w:val="5BFC0F76"/>
    <w:rsid w:val="5BFE4F3B"/>
    <w:rsid w:val="5BFF68D4"/>
    <w:rsid w:val="5C017934"/>
    <w:rsid w:val="5C0252D4"/>
    <w:rsid w:val="5C060A89"/>
    <w:rsid w:val="5C11006B"/>
    <w:rsid w:val="5C1104E1"/>
    <w:rsid w:val="5C1A5B5B"/>
    <w:rsid w:val="5C1C1C1E"/>
    <w:rsid w:val="5C2F4B2B"/>
    <w:rsid w:val="5C3746B9"/>
    <w:rsid w:val="5C3D06E5"/>
    <w:rsid w:val="5C4217EE"/>
    <w:rsid w:val="5C427F70"/>
    <w:rsid w:val="5C4E1909"/>
    <w:rsid w:val="5C54615F"/>
    <w:rsid w:val="5C567FED"/>
    <w:rsid w:val="5C5B6606"/>
    <w:rsid w:val="5C5D53EE"/>
    <w:rsid w:val="5C607633"/>
    <w:rsid w:val="5C651DE8"/>
    <w:rsid w:val="5C6D7BE9"/>
    <w:rsid w:val="5C745086"/>
    <w:rsid w:val="5C815DFB"/>
    <w:rsid w:val="5C8677AD"/>
    <w:rsid w:val="5C89312A"/>
    <w:rsid w:val="5C926C8D"/>
    <w:rsid w:val="5C96129A"/>
    <w:rsid w:val="5C983B6D"/>
    <w:rsid w:val="5C9A6A88"/>
    <w:rsid w:val="5C9E3E62"/>
    <w:rsid w:val="5CA43DD0"/>
    <w:rsid w:val="5CA814B9"/>
    <w:rsid w:val="5CAA4DDC"/>
    <w:rsid w:val="5CB67F07"/>
    <w:rsid w:val="5CB703DD"/>
    <w:rsid w:val="5CB91F51"/>
    <w:rsid w:val="5CBD150F"/>
    <w:rsid w:val="5CC765F0"/>
    <w:rsid w:val="5CCB0544"/>
    <w:rsid w:val="5CD238FF"/>
    <w:rsid w:val="5CD501A5"/>
    <w:rsid w:val="5CD55504"/>
    <w:rsid w:val="5CDC5833"/>
    <w:rsid w:val="5CE17112"/>
    <w:rsid w:val="5CE875F4"/>
    <w:rsid w:val="5CF214D0"/>
    <w:rsid w:val="5CF50B74"/>
    <w:rsid w:val="5CF828DD"/>
    <w:rsid w:val="5CFA23EC"/>
    <w:rsid w:val="5CFC7A94"/>
    <w:rsid w:val="5CFF0157"/>
    <w:rsid w:val="5CFF5143"/>
    <w:rsid w:val="5D060BFD"/>
    <w:rsid w:val="5D11279E"/>
    <w:rsid w:val="5D121033"/>
    <w:rsid w:val="5D1576FA"/>
    <w:rsid w:val="5D186F50"/>
    <w:rsid w:val="5D2C3843"/>
    <w:rsid w:val="5D337909"/>
    <w:rsid w:val="5D3847D4"/>
    <w:rsid w:val="5D406426"/>
    <w:rsid w:val="5D41545F"/>
    <w:rsid w:val="5D415F6B"/>
    <w:rsid w:val="5D4208D3"/>
    <w:rsid w:val="5D453BFF"/>
    <w:rsid w:val="5D4E2A4A"/>
    <w:rsid w:val="5D4F19A4"/>
    <w:rsid w:val="5D503525"/>
    <w:rsid w:val="5D5528BA"/>
    <w:rsid w:val="5D6B1C1F"/>
    <w:rsid w:val="5D6D5E28"/>
    <w:rsid w:val="5D720763"/>
    <w:rsid w:val="5D8A17FC"/>
    <w:rsid w:val="5D8E2177"/>
    <w:rsid w:val="5D902A97"/>
    <w:rsid w:val="5D973E25"/>
    <w:rsid w:val="5D9926B1"/>
    <w:rsid w:val="5D9C1D46"/>
    <w:rsid w:val="5D9C7431"/>
    <w:rsid w:val="5DA16A52"/>
    <w:rsid w:val="5DAD3649"/>
    <w:rsid w:val="5DB00E20"/>
    <w:rsid w:val="5DB36FB3"/>
    <w:rsid w:val="5DB445FA"/>
    <w:rsid w:val="5DB528F2"/>
    <w:rsid w:val="5DB65763"/>
    <w:rsid w:val="5DB71FF6"/>
    <w:rsid w:val="5DC03058"/>
    <w:rsid w:val="5DD31076"/>
    <w:rsid w:val="5DD76BE7"/>
    <w:rsid w:val="5DD91EF0"/>
    <w:rsid w:val="5DDB584B"/>
    <w:rsid w:val="5DE64740"/>
    <w:rsid w:val="5DF56CB8"/>
    <w:rsid w:val="5E0019CA"/>
    <w:rsid w:val="5E050B89"/>
    <w:rsid w:val="5E0D4775"/>
    <w:rsid w:val="5E150DFA"/>
    <w:rsid w:val="5E1621C9"/>
    <w:rsid w:val="5E187A5F"/>
    <w:rsid w:val="5E230956"/>
    <w:rsid w:val="5E2A66E1"/>
    <w:rsid w:val="5E2C0A11"/>
    <w:rsid w:val="5E322EE7"/>
    <w:rsid w:val="5E33069A"/>
    <w:rsid w:val="5E352508"/>
    <w:rsid w:val="5E35544A"/>
    <w:rsid w:val="5E3702E9"/>
    <w:rsid w:val="5E3F64C0"/>
    <w:rsid w:val="5E457033"/>
    <w:rsid w:val="5E557F18"/>
    <w:rsid w:val="5E647D90"/>
    <w:rsid w:val="5E660D23"/>
    <w:rsid w:val="5E684872"/>
    <w:rsid w:val="5E6E4A48"/>
    <w:rsid w:val="5E780705"/>
    <w:rsid w:val="5E7F7A0B"/>
    <w:rsid w:val="5E882100"/>
    <w:rsid w:val="5E9B400C"/>
    <w:rsid w:val="5EA062DA"/>
    <w:rsid w:val="5EA54A6C"/>
    <w:rsid w:val="5EA56970"/>
    <w:rsid w:val="5EA77EEA"/>
    <w:rsid w:val="5EAA4AD8"/>
    <w:rsid w:val="5EAD0ADE"/>
    <w:rsid w:val="5EAF1279"/>
    <w:rsid w:val="5EB01C50"/>
    <w:rsid w:val="5EB773B0"/>
    <w:rsid w:val="5EC9327E"/>
    <w:rsid w:val="5ECB28E5"/>
    <w:rsid w:val="5ED04AB7"/>
    <w:rsid w:val="5ED30FAA"/>
    <w:rsid w:val="5ED6097D"/>
    <w:rsid w:val="5EE55135"/>
    <w:rsid w:val="5EE93DE7"/>
    <w:rsid w:val="5EE94B25"/>
    <w:rsid w:val="5EE9650F"/>
    <w:rsid w:val="5EEA306B"/>
    <w:rsid w:val="5EEE06E0"/>
    <w:rsid w:val="5EF107FC"/>
    <w:rsid w:val="5EF51751"/>
    <w:rsid w:val="5EFF2FD7"/>
    <w:rsid w:val="5F0E72FA"/>
    <w:rsid w:val="5F10262A"/>
    <w:rsid w:val="5F193099"/>
    <w:rsid w:val="5F1D035A"/>
    <w:rsid w:val="5F2270F2"/>
    <w:rsid w:val="5F2870AE"/>
    <w:rsid w:val="5F2A4991"/>
    <w:rsid w:val="5F4550D4"/>
    <w:rsid w:val="5F456303"/>
    <w:rsid w:val="5F4B11A1"/>
    <w:rsid w:val="5F4D1F33"/>
    <w:rsid w:val="5F53590A"/>
    <w:rsid w:val="5F6068ED"/>
    <w:rsid w:val="5F627716"/>
    <w:rsid w:val="5F6633CC"/>
    <w:rsid w:val="5F711C43"/>
    <w:rsid w:val="5F7677B7"/>
    <w:rsid w:val="5F7C01E6"/>
    <w:rsid w:val="5F824661"/>
    <w:rsid w:val="5F882FD6"/>
    <w:rsid w:val="5F8F76F2"/>
    <w:rsid w:val="5F981A03"/>
    <w:rsid w:val="5F9D5DBB"/>
    <w:rsid w:val="5FA34EC4"/>
    <w:rsid w:val="5FA92E17"/>
    <w:rsid w:val="5FAA188D"/>
    <w:rsid w:val="5FAA530A"/>
    <w:rsid w:val="5FAF2EF5"/>
    <w:rsid w:val="5FB4580D"/>
    <w:rsid w:val="5FB71465"/>
    <w:rsid w:val="5FB760C3"/>
    <w:rsid w:val="5FBB7263"/>
    <w:rsid w:val="5FC17BD4"/>
    <w:rsid w:val="5FC26EEC"/>
    <w:rsid w:val="5FC36C32"/>
    <w:rsid w:val="5FC5794A"/>
    <w:rsid w:val="5FD170BA"/>
    <w:rsid w:val="5FE06394"/>
    <w:rsid w:val="5FE736B9"/>
    <w:rsid w:val="5FEA7232"/>
    <w:rsid w:val="5FED564C"/>
    <w:rsid w:val="5FF354C9"/>
    <w:rsid w:val="5FF43C05"/>
    <w:rsid w:val="5FF52B7A"/>
    <w:rsid w:val="5FF56C95"/>
    <w:rsid w:val="5FFF1793"/>
    <w:rsid w:val="600B429E"/>
    <w:rsid w:val="600E1F8C"/>
    <w:rsid w:val="600F4BD9"/>
    <w:rsid w:val="60122DA5"/>
    <w:rsid w:val="6032626D"/>
    <w:rsid w:val="603748E1"/>
    <w:rsid w:val="603D4C33"/>
    <w:rsid w:val="60453AA2"/>
    <w:rsid w:val="604E0396"/>
    <w:rsid w:val="605E50CE"/>
    <w:rsid w:val="605F1B20"/>
    <w:rsid w:val="605F3B6E"/>
    <w:rsid w:val="6069515D"/>
    <w:rsid w:val="6073076C"/>
    <w:rsid w:val="607D32AC"/>
    <w:rsid w:val="607F61C9"/>
    <w:rsid w:val="608A7C71"/>
    <w:rsid w:val="60903BBB"/>
    <w:rsid w:val="60A64447"/>
    <w:rsid w:val="60A82088"/>
    <w:rsid w:val="60BE3452"/>
    <w:rsid w:val="60C01014"/>
    <w:rsid w:val="60C71377"/>
    <w:rsid w:val="60C77A20"/>
    <w:rsid w:val="60CB58FD"/>
    <w:rsid w:val="60CF559E"/>
    <w:rsid w:val="60D324E0"/>
    <w:rsid w:val="60D61108"/>
    <w:rsid w:val="60D92DC5"/>
    <w:rsid w:val="60DC12E9"/>
    <w:rsid w:val="60E10FDF"/>
    <w:rsid w:val="60E41F74"/>
    <w:rsid w:val="610644B8"/>
    <w:rsid w:val="610C4CE2"/>
    <w:rsid w:val="610C77C0"/>
    <w:rsid w:val="61121D69"/>
    <w:rsid w:val="612359ED"/>
    <w:rsid w:val="61252088"/>
    <w:rsid w:val="61257C16"/>
    <w:rsid w:val="61290528"/>
    <w:rsid w:val="613B0B5F"/>
    <w:rsid w:val="613F1DE1"/>
    <w:rsid w:val="614155AE"/>
    <w:rsid w:val="61491AF7"/>
    <w:rsid w:val="615B791B"/>
    <w:rsid w:val="615E06FF"/>
    <w:rsid w:val="6164098B"/>
    <w:rsid w:val="616A37FB"/>
    <w:rsid w:val="61844441"/>
    <w:rsid w:val="61884CF1"/>
    <w:rsid w:val="618A139D"/>
    <w:rsid w:val="619B4E70"/>
    <w:rsid w:val="61A56B00"/>
    <w:rsid w:val="61A71546"/>
    <w:rsid w:val="61AE3D3E"/>
    <w:rsid w:val="61BF7DEE"/>
    <w:rsid w:val="61C161CD"/>
    <w:rsid w:val="61CA7A98"/>
    <w:rsid w:val="61DF0F3C"/>
    <w:rsid w:val="61DF4AEA"/>
    <w:rsid w:val="61E40C3A"/>
    <w:rsid w:val="61F135C0"/>
    <w:rsid w:val="61F25ACE"/>
    <w:rsid w:val="62021E38"/>
    <w:rsid w:val="62023D26"/>
    <w:rsid w:val="62034DF0"/>
    <w:rsid w:val="620A2DC6"/>
    <w:rsid w:val="621D6715"/>
    <w:rsid w:val="6221147A"/>
    <w:rsid w:val="622621A8"/>
    <w:rsid w:val="622C7ED2"/>
    <w:rsid w:val="62333C74"/>
    <w:rsid w:val="62334909"/>
    <w:rsid w:val="62344338"/>
    <w:rsid w:val="6238389F"/>
    <w:rsid w:val="6246086B"/>
    <w:rsid w:val="62554840"/>
    <w:rsid w:val="62556562"/>
    <w:rsid w:val="625C363A"/>
    <w:rsid w:val="625E1457"/>
    <w:rsid w:val="626E67D1"/>
    <w:rsid w:val="627D60E4"/>
    <w:rsid w:val="627E6751"/>
    <w:rsid w:val="62846CBA"/>
    <w:rsid w:val="628F4546"/>
    <w:rsid w:val="62983B87"/>
    <w:rsid w:val="629949A0"/>
    <w:rsid w:val="62A36AB0"/>
    <w:rsid w:val="62A6476D"/>
    <w:rsid w:val="62A66446"/>
    <w:rsid w:val="62A67B88"/>
    <w:rsid w:val="62AE63D9"/>
    <w:rsid w:val="62B21E0D"/>
    <w:rsid w:val="62B40FD5"/>
    <w:rsid w:val="62C66E85"/>
    <w:rsid w:val="62CF69DE"/>
    <w:rsid w:val="62D27ADD"/>
    <w:rsid w:val="62DF521D"/>
    <w:rsid w:val="62E25B42"/>
    <w:rsid w:val="62E719DE"/>
    <w:rsid w:val="62E73159"/>
    <w:rsid w:val="62E93A4C"/>
    <w:rsid w:val="62F17475"/>
    <w:rsid w:val="62FD35D9"/>
    <w:rsid w:val="630E5218"/>
    <w:rsid w:val="63117230"/>
    <w:rsid w:val="63181564"/>
    <w:rsid w:val="631C697F"/>
    <w:rsid w:val="632042C6"/>
    <w:rsid w:val="632D4DEB"/>
    <w:rsid w:val="632F2788"/>
    <w:rsid w:val="63346144"/>
    <w:rsid w:val="633A1392"/>
    <w:rsid w:val="633E44FD"/>
    <w:rsid w:val="63440630"/>
    <w:rsid w:val="63495BC1"/>
    <w:rsid w:val="6351400D"/>
    <w:rsid w:val="63524E42"/>
    <w:rsid w:val="635558ED"/>
    <w:rsid w:val="635E0E70"/>
    <w:rsid w:val="635F6EA7"/>
    <w:rsid w:val="63693A5C"/>
    <w:rsid w:val="636F09FE"/>
    <w:rsid w:val="636F793A"/>
    <w:rsid w:val="637278AA"/>
    <w:rsid w:val="6373388B"/>
    <w:rsid w:val="63884A55"/>
    <w:rsid w:val="638A0E03"/>
    <w:rsid w:val="638F15FA"/>
    <w:rsid w:val="63957059"/>
    <w:rsid w:val="639A1678"/>
    <w:rsid w:val="639E5808"/>
    <w:rsid w:val="63A50B94"/>
    <w:rsid w:val="63A5764E"/>
    <w:rsid w:val="63A76110"/>
    <w:rsid w:val="63B6068E"/>
    <w:rsid w:val="63BC30D2"/>
    <w:rsid w:val="63BD31C5"/>
    <w:rsid w:val="63CB5590"/>
    <w:rsid w:val="63DA41B2"/>
    <w:rsid w:val="63DB437F"/>
    <w:rsid w:val="63DC6A36"/>
    <w:rsid w:val="63E20A6D"/>
    <w:rsid w:val="63E70BD2"/>
    <w:rsid w:val="63E961E9"/>
    <w:rsid w:val="63F27479"/>
    <w:rsid w:val="63F815E5"/>
    <w:rsid w:val="641367A5"/>
    <w:rsid w:val="64172625"/>
    <w:rsid w:val="641C10ED"/>
    <w:rsid w:val="641F4B74"/>
    <w:rsid w:val="641F6CF9"/>
    <w:rsid w:val="64250E88"/>
    <w:rsid w:val="64336D14"/>
    <w:rsid w:val="6439577F"/>
    <w:rsid w:val="64462E5D"/>
    <w:rsid w:val="644E203B"/>
    <w:rsid w:val="645B4AC8"/>
    <w:rsid w:val="646602D4"/>
    <w:rsid w:val="646662A4"/>
    <w:rsid w:val="646A3D0F"/>
    <w:rsid w:val="6470639A"/>
    <w:rsid w:val="647117BD"/>
    <w:rsid w:val="64722E64"/>
    <w:rsid w:val="647546F9"/>
    <w:rsid w:val="647608C3"/>
    <w:rsid w:val="64764B21"/>
    <w:rsid w:val="647A59C0"/>
    <w:rsid w:val="647D3693"/>
    <w:rsid w:val="647E09D1"/>
    <w:rsid w:val="64862F9B"/>
    <w:rsid w:val="6486340F"/>
    <w:rsid w:val="648716DD"/>
    <w:rsid w:val="64891832"/>
    <w:rsid w:val="64895981"/>
    <w:rsid w:val="648C7C74"/>
    <w:rsid w:val="64990623"/>
    <w:rsid w:val="64A02E78"/>
    <w:rsid w:val="64A607C6"/>
    <w:rsid w:val="64B121B3"/>
    <w:rsid w:val="64B32C36"/>
    <w:rsid w:val="64BB7E67"/>
    <w:rsid w:val="64C06261"/>
    <w:rsid w:val="64C375C4"/>
    <w:rsid w:val="64C840F1"/>
    <w:rsid w:val="64CF3058"/>
    <w:rsid w:val="64DA02FE"/>
    <w:rsid w:val="64DD5C7F"/>
    <w:rsid w:val="64EA2ADE"/>
    <w:rsid w:val="64EB1DAA"/>
    <w:rsid w:val="64FB2CA6"/>
    <w:rsid w:val="65063D2E"/>
    <w:rsid w:val="650D6D32"/>
    <w:rsid w:val="651E7FD0"/>
    <w:rsid w:val="652060DB"/>
    <w:rsid w:val="652B3976"/>
    <w:rsid w:val="652C2A43"/>
    <w:rsid w:val="652E21A6"/>
    <w:rsid w:val="65312DB1"/>
    <w:rsid w:val="65336FA1"/>
    <w:rsid w:val="65381412"/>
    <w:rsid w:val="654327D3"/>
    <w:rsid w:val="65477D2A"/>
    <w:rsid w:val="654940E4"/>
    <w:rsid w:val="65503187"/>
    <w:rsid w:val="65506C09"/>
    <w:rsid w:val="65530F79"/>
    <w:rsid w:val="65565D92"/>
    <w:rsid w:val="6560523B"/>
    <w:rsid w:val="65633D33"/>
    <w:rsid w:val="656C19D2"/>
    <w:rsid w:val="657055AE"/>
    <w:rsid w:val="65741EA8"/>
    <w:rsid w:val="65820A88"/>
    <w:rsid w:val="65854988"/>
    <w:rsid w:val="658A0A13"/>
    <w:rsid w:val="658D08E0"/>
    <w:rsid w:val="659222B5"/>
    <w:rsid w:val="65926320"/>
    <w:rsid w:val="65991846"/>
    <w:rsid w:val="65A142F4"/>
    <w:rsid w:val="65B0363C"/>
    <w:rsid w:val="65B16123"/>
    <w:rsid w:val="65B21DB8"/>
    <w:rsid w:val="65C43884"/>
    <w:rsid w:val="65CB0582"/>
    <w:rsid w:val="65CF14B1"/>
    <w:rsid w:val="65D20C8D"/>
    <w:rsid w:val="65D44695"/>
    <w:rsid w:val="65D6468E"/>
    <w:rsid w:val="65E037B7"/>
    <w:rsid w:val="65F41B64"/>
    <w:rsid w:val="65F54D19"/>
    <w:rsid w:val="65F96047"/>
    <w:rsid w:val="66083B76"/>
    <w:rsid w:val="6612585C"/>
    <w:rsid w:val="661F7928"/>
    <w:rsid w:val="66231448"/>
    <w:rsid w:val="662434A0"/>
    <w:rsid w:val="662D17CA"/>
    <w:rsid w:val="6632335C"/>
    <w:rsid w:val="66365721"/>
    <w:rsid w:val="66374A45"/>
    <w:rsid w:val="66410DD2"/>
    <w:rsid w:val="66492C91"/>
    <w:rsid w:val="665B07EA"/>
    <w:rsid w:val="665D4C60"/>
    <w:rsid w:val="665D4E7F"/>
    <w:rsid w:val="66641D5B"/>
    <w:rsid w:val="66667174"/>
    <w:rsid w:val="66700D0D"/>
    <w:rsid w:val="66763EAB"/>
    <w:rsid w:val="667D27D2"/>
    <w:rsid w:val="667D7159"/>
    <w:rsid w:val="66A838C4"/>
    <w:rsid w:val="66B524EA"/>
    <w:rsid w:val="66B954BA"/>
    <w:rsid w:val="66B9668B"/>
    <w:rsid w:val="66BA215E"/>
    <w:rsid w:val="66C11781"/>
    <w:rsid w:val="66C16D9E"/>
    <w:rsid w:val="66C21E06"/>
    <w:rsid w:val="66C54035"/>
    <w:rsid w:val="66C814F3"/>
    <w:rsid w:val="66C940B4"/>
    <w:rsid w:val="66CF3753"/>
    <w:rsid w:val="66D36ABC"/>
    <w:rsid w:val="66D407FE"/>
    <w:rsid w:val="66D53C6D"/>
    <w:rsid w:val="66DF7DEE"/>
    <w:rsid w:val="66E414F1"/>
    <w:rsid w:val="66E71BAE"/>
    <w:rsid w:val="66FC66FC"/>
    <w:rsid w:val="66FC7D5B"/>
    <w:rsid w:val="672216DF"/>
    <w:rsid w:val="67232FA9"/>
    <w:rsid w:val="672F5F24"/>
    <w:rsid w:val="67346675"/>
    <w:rsid w:val="674353E5"/>
    <w:rsid w:val="674C755E"/>
    <w:rsid w:val="674C7965"/>
    <w:rsid w:val="67552B6F"/>
    <w:rsid w:val="675C591D"/>
    <w:rsid w:val="67666BAF"/>
    <w:rsid w:val="677D0530"/>
    <w:rsid w:val="67875D9B"/>
    <w:rsid w:val="678B49FB"/>
    <w:rsid w:val="678F5C1C"/>
    <w:rsid w:val="67961FBD"/>
    <w:rsid w:val="679E7911"/>
    <w:rsid w:val="67A2684F"/>
    <w:rsid w:val="67A858C3"/>
    <w:rsid w:val="67BB639C"/>
    <w:rsid w:val="67BF6452"/>
    <w:rsid w:val="67C82904"/>
    <w:rsid w:val="67E92D61"/>
    <w:rsid w:val="67F6590F"/>
    <w:rsid w:val="67FB209D"/>
    <w:rsid w:val="68012F81"/>
    <w:rsid w:val="68062712"/>
    <w:rsid w:val="68086BA2"/>
    <w:rsid w:val="680C5410"/>
    <w:rsid w:val="680C5E70"/>
    <w:rsid w:val="68133A0E"/>
    <w:rsid w:val="68182C40"/>
    <w:rsid w:val="681A02C1"/>
    <w:rsid w:val="681D3E73"/>
    <w:rsid w:val="68231531"/>
    <w:rsid w:val="6827517D"/>
    <w:rsid w:val="68383B7F"/>
    <w:rsid w:val="683B09BA"/>
    <w:rsid w:val="683D6F7F"/>
    <w:rsid w:val="684478BD"/>
    <w:rsid w:val="684A2623"/>
    <w:rsid w:val="684A7498"/>
    <w:rsid w:val="684E72FF"/>
    <w:rsid w:val="68511D03"/>
    <w:rsid w:val="685370FC"/>
    <w:rsid w:val="68584F45"/>
    <w:rsid w:val="685A6CF1"/>
    <w:rsid w:val="685B7B63"/>
    <w:rsid w:val="68602A0F"/>
    <w:rsid w:val="68620D76"/>
    <w:rsid w:val="686C17CA"/>
    <w:rsid w:val="68736991"/>
    <w:rsid w:val="687F2502"/>
    <w:rsid w:val="68826F14"/>
    <w:rsid w:val="688C1957"/>
    <w:rsid w:val="688C64D1"/>
    <w:rsid w:val="688D6550"/>
    <w:rsid w:val="68900C63"/>
    <w:rsid w:val="6894695C"/>
    <w:rsid w:val="689C46BC"/>
    <w:rsid w:val="689F1F26"/>
    <w:rsid w:val="68AE673B"/>
    <w:rsid w:val="68B65434"/>
    <w:rsid w:val="68B76345"/>
    <w:rsid w:val="68BD22F4"/>
    <w:rsid w:val="68C0152D"/>
    <w:rsid w:val="68C6271A"/>
    <w:rsid w:val="68CE73A5"/>
    <w:rsid w:val="68D0468F"/>
    <w:rsid w:val="68D05E0E"/>
    <w:rsid w:val="68D46B36"/>
    <w:rsid w:val="68DC727C"/>
    <w:rsid w:val="68DD74D8"/>
    <w:rsid w:val="68DE1AD3"/>
    <w:rsid w:val="68E12CDA"/>
    <w:rsid w:val="68E55043"/>
    <w:rsid w:val="68E7499F"/>
    <w:rsid w:val="68F1032C"/>
    <w:rsid w:val="68FD0579"/>
    <w:rsid w:val="68FE29D5"/>
    <w:rsid w:val="68FE723F"/>
    <w:rsid w:val="69041AC6"/>
    <w:rsid w:val="69121E13"/>
    <w:rsid w:val="691424AE"/>
    <w:rsid w:val="69145C24"/>
    <w:rsid w:val="69173840"/>
    <w:rsid w:val="69224CD0"/>
    <w:rsid w:val="692A1766"/>
    <w:rsid w:val="694325BE"/>
    <w:rsid w:val="694A180C"/>
    <w:rsid w:val="69502941"/>
    <w:rsid w:val="695047D2"/>
    <w:rsid w:val="695224F5"/>
    <w:rsid w:val="69563608"/>
    <w:rsid w:val="69571CA4"/>
    <w:rsid w:val="69601ECD"/>
    <w:rsid w:val="696D3405"/>
    <w:rsid w:val="69732BEC"/>
    <w:rsid w:val="69765D7D"/>
    <w:rsid w:val="6978636E"/>
    <w:rsid w:val="697B4EE4"/>
    <w:rsid w:val="697C4A81"/>
    <w:rsid w:val="697F3AEA"/>
    <w:rsid w:val="698367B8"/>
    <w:rsid w:val="69884110"/>
    <w:rsid w:val="698B47A6"/>
    <w:rsid w:val="69902E80"/>
    <w:rsid w:val="69932F1E"/>
    <w:rsid w:val="6998062A"/>
    <w:rsid w:val="699D4933"/>
    <w:rsid w:val="699E58BC"/>
    <w:rsid w:val="699F29DF"/>
    <w:rsid w:val="69A80B94"/>
    <w:rsid w:val="69AC1D80"/>
    <w:rsid w:val="69B02022"/>
    <w:rsid w:val="69B86268"/>
    <w:rsid w:val="69B96A95"/>
    <w:rsid w:val="69C3287C"/>
    <w:rsid w:val="69CD163D"/>
    <w:rsid w:val="69CF3D55"/>
    <w:rsid w:val="69D74BA3"/>
    <w:rsid w:val="69E956B5"/>
    <w:rsid w:val="69F653CF"/>
    <w:rsid w:val="69FF157A"/>
    <w:rsid w:val="6A185FC3"/>
    <w:rsid w:val="6A212625"/>
    <w:rsid w:val="6A272CF0"/>
    <w:rsid w:val="6A2E65B1"/>
    <w:rsid w:val="6A31474F"/>
    <w:rsid w:val="6A326C96"/>
    <w:rsid w:val="6A383EA4"/>
    <w:rsid w:val="6A3B6D00"/>
    <w:rsid w:val="6A43399F"/>
    <w:rsid w:val="6A460351"/>
    <w:rsid w:val="6A467D73"/>
    <w:rsid w:val="6A471A91"/>
    <w:rsid w:val="6A524872"/>
    <w:rsid w:val="6A542AB3"/>
    <w:rsid w:val="6A5C0DCF"/>
    <w:rsid w:val="6A5E705B"/>
    <w:rsid w:val="6A5F1E77"/>
    <w:rsid w:val="6A611238"/>
    <w:rsid w:val="6A69642A"/>
    <w:rsid w:val="6A7B5F9E"/>
    <w:rsid w:val="6A831B43"/>
    <w:rsid w:val="6A8917EE"/>
    <w:rsid w:val="6A951C06"/>
    <w:rsid w:val="6A977038"/>
    <w:rsid w:val="6A9B4F77"/>
    <w:rsid w:val="6AA55410"/>
    <w:rsid w:val="6AA67C9B"/>
    <w:rsid w:val="6AAE4DFC"/>
    <w:rsid w:val="6AB81072"/>
    <w:rsid w:val="6AB90F0D"/>
    <w:rsid w:val="6AC01A0B"/>
    <w:rsid w:val="6AC11121"/>
    <w:rsid w:val="6ACF50FE"/>
    <w:rsid w:val="6AD92114"/>
    <w:rsid w:val="6AD94D0B"/>
    <w:rsid w:val="6ADA7E9D"/>
    <w:rsid w:val="6AE310DA"/>
    <w:rsid w:val="6AE90F41"/>
    <w:rsid w:val="6AF40B09"/>
    <w:rsid w:val="6AF52D3C"/>
    <w:rsid w:val="6AFD364D"/>
    <w:rsid w:val="6AFF1F92"/>
    <w:rsid w:val="6B0B0BD9"/>
    <w:rsid w:val="6B11021C"/>
    <w:rsid w:val="6B170540"/>
    <w:rsid w:val="6B1763D0"/>
    <w:rsid w:val="6B1A5488"/>
    <w:rsid w:val="6B1E253E"/>
    <w:rsid w:val="6B1F677C"/>
    <w:rsid w:val="6B2A650E"/>
    <w:rsid w:val="6B2C7392"/>
    <w:rsid w:val="6B2D4AE1"/>
    <w:rsid w:val="6B33587F"/>
    <w:rsid w:val="6B3D4D52"/>
    <w:rsid w:val="6B3D652B"/>
    <w:rsid w:val="6B484503"/>
    <w:rsid w:val="6B72697D"/>
    <w:rsid w:val="6B8F69CA"/>
    <w:rsid w:val="6B902E6D"/>
    <w:rsid w:val="6B9C7FD7"/>
    <w:rsid w:val="6B9D40F1"/>
    <w:rsid w:val="6BA10E73"/>
    <w:rsid w:val="6BA95359"/>
    <w:rsid w:val="6BB21507"/>
    <w:rsid w:val="6BC8498F"/>
    <w:rsid w:val="6BCE10FB"/>
    <w:rsid w:val="6BD57B73"/>
    <w:rsid w:val="6BDC5A0B"/>
    <w:rsid w:val="6BDC67D3"/>
    <w:rsid w:val="6BDF01D8"/>
    <w:rsid w:val="6BE96194"/>
    <w:rsid w:val="6BF32557"/>
    <w:rsid w:val="6BF91FD6"/>
    <w:rsid w:val="6BFE5931"/>
    <w:rsid w:val="6C057D58"/>
    <w:rsid w:val="6C0B1472"/>
    <w:rsid w:val="6C0D577C"/>
    <w:rsid w:val="6C1F0FD4"/>
    <w:rsid w:val="6C2B1A80"/>
    <w:rsid w:val="6C325C88"/>
    <w:rsid w:val="6C3269E1"/>
    <w:rsid w:val="6C335B03"/>
    <w:rsid w:val="6C38760F"/>
    <w:rsid w:val="6C3F49AC"/>
    <w:rsid w:val="6C442680"/>
    <w:rsid w:val="6C6156B6"/>
    <w:rsid w:val="6C652DB8"/>
    <w:rsid w:val="6C685189"/>
    <w:rsid w:val="6C70555A"/>
    <w:rsid w:val="6C721979"/>
    <w:rsid w:val="6C7350DD"/>
    <w:rsid w:val="6C761ED9"/>
    <w:rsid w:val="6C7A3924"/>
    <w:rsid w:val="6C824116"/>
    <w:rsid w:val="6C8C7F5A"/>
    <w:rsid w:val="6C8E6569"/>
    <w:rsid w:val="6C944EE5"/>
    <w:rsid w:val="6C986AA6"/>
    <w:rsid w:val="6C9C744D"/>
    <w:rsid w:val="6C9D2552"/>
    <w:rsid w:val="6CA21F9A"/>
    <w:rsid w:val="6CBD620E"/>
    <w:rsid w:val="6CBF5329"/>
    <w:rsid w:val="6CC62411"/>
    <w:rsid w:val="6CC71DB9"/>
    <w:rsid w:val="6CC85ED2"/>
    <w:rsid w:val="6CCC58A2"/>
    <w:rsid w:val="6CCF5E3E"/>
    <w:rsid w:val="6CD82D10"/>
    <w:rsid w:val="6CE139FF"/>
    <w:rsid w:val="6CE150BD"/>
    <w:rsid w:val="6CFC1D9D"/>
    <w:rsid w:val="6D0649AA"/>
    <w:rsid w:val="6D0D6E68"/>
    <w:rsid w:val="6D1536CD"/>
    <w:rsid w:val="6D15395D"/>
    <w:rsid w:val="6D2B4DBB"/>
    <w:rsid w:val="6D3306DF"/>
    <w:rsid w:val="6D4A0EB4"/>
    <w:rsid w:val="6D63747E"/>
    <w:rsid w:val="6D661B05"/>
    <w:rsid w:val="6D704D4F"/>
    <w:rsid w:val="6D726AC6"/>
    <w:rsid w:val="6D736D72"/>
    <w:rsid w:val="6D855B77"/>
    <w:rsid w:val="6D8E5116"/>
    <w:rsid w:val="6D8F2FDD"/>
    <w:rsid w:val="6D922713"/>
    <w:rsid w:val="6D932743"/>
    <w:rsid w:val="6DAE78BD"/>
    <w:rsid w:val="6DBA2EED"/>
    <w:rsid w:val="6DC837F9"/>
    <w:rsid w:val="6DCB3F38"/>
    <w:rsid w:val="6DD672BA"/>
    <w:rsid w:val="6DDF784E"/>
    <w:rsid w:val="6DE27809"/>
    <w:rsid w:val="6DE85A6F"/>
    <w:rsid w:val="6E051D41"/>
    <w:rsid w:val="6E066733"/>
    <w:rsid w:val="6E104B1A"/>
    <w:rsid w:val="6E137FEB"/>
    <w:rsid w:val="6E1D5791"/>
    <w:rsid w:val="6E1E01B8"/>
    <w:rsid w:val="6E234CF5"/>
    <w:rsid w:val="6E2D62A5"/>
    <w:rsid w:val="6E2F52AA"/>
    <w:rsid w:val="6E360AAD"/>
    <w:rsid w:val="6E3D27C7"/>
    <w:rsid w:val="6E3E3969"/>
    <w:rsid w:val="6E40594E"/>
    <w:rsid w:val="6E41615C"/>
    <w:rsid w:val="6E4B4CF2"/>
    <w:rsid w:val="6E506DB0"/>
    <w:rsid w:val="6E560436"/>
    <w:rsid w:val="6E613BC1"/>
    <w:rsid w:val="6E725C37"/>
    <w:rsid w:val="6E735A7A"/>
    <w:rsid w:val="6E756D44"/>
    <w:rsid w:val="6E7C31D0"/>
    <w:rsid w:val="6E8537F3"/>
    <w:rsid w:val="6E8A5C48"/>
    <w:rsid w:val="6E905948"/>
    <w:rsid w:val="6EA14E2C"/>
    <w:rsid w:val="6EA6590D"/>
    <w:rsid w:val="6EA877E1"/>
    <w:rsid w:val="6EA91BE7"/>
    <w:rsid w:val="6EB46BCC"/>
    <w:rsid w:val="6EB5543B"/>
    <w:rsid w:val="6EB64404"/>
    <w:rsid w:val="6EB7430E"/>
    <w:rsid w:val="6EB7603A"/>
    <w:rsid w:val="6EB81E4D"/>
    <w:rsid w:val="6EB907CC"/>
    <w:rsid w:val="6EBF1BF2"/>
    <w:rsid w:val="6EBF35DA"/>
    <w:rsid w:val="6EC17017"/>
    <w:rsid w:val="6EC40C98"/>
    <w:rsid w:val="6ECC22FD"/>
    <w:rsid w:val="6ED569DC"/>
    <w:rsid w:val="6EDA6400"/>
    <w:rsid w:val="6EDD38F6"/>
    <w:rsid w:val="6EE21A65"/>
    <w:rsid w:val="6EEB2223"/>
    <w:rsid w:val="6EEE0822"/>
    <w:rsid w:val="6EF07048"/>
    <w:rsid w:val="6EFE6787"/>
    <w:rsid w:val="6F004249"/>
    <w:rsid w:val="6F0054AC"/>
    <w:rsid w:val="6F0B7714"/>
    <w:rsid w:val="6F0D3F47"/>
    <w:rsid w:val="6F102167"/>
    <w:rsid w:val="6F146A2A"/>
    <w:rsid w:val="6F1A3BC3"/>
    <w:rsid w:val="6F1F7308"/>
    <w:rsid w:val="6F345978"/>
    <w:rsid w:val="6F3E5A5A"/>
    <w:rsid w:val="6F3E67F6"/>
    <w:rsid w:val="6F3F73AF"/>
    <w:rsid w:val="6F4416FF"/>
    <w:rsid w:val="6F4B6C8B"/>
    <w:rsid w:val="6F4D5059"/>
    <w:rsid w:val="6F5C1B73"/>
    <w:rsid w:val="6F5E5457"/>
    <w:rsid w:val="6F6541C3"/>
    <w:rsid w:val="6F66482C"/>
    <w:rsid w:val="6F73523D"/>
    <w:rsid w:val="6F751AEC"/>
    <w:rsid w:val="6F81031A"/>
    <w:rsid w:val="6F887A72"/>
    <w:rsid w:val="6F8B612B"/>
    <w:rsid w:val="6F9C4F8F"/>
    <w:rsid w:val="6F9C6B34"/>
    <w:rsid w:val="6F9D6663"/>
    <w:rsid w:val="6FA30118"/>
    <w:rsid w:val="6FAA5E64"/>
    <w:rsid w:val="6FAF37FB"/>
    <w:rsid w:val="6FB217C2"/>
    <w:rsid w:val="6FB24AEE"/>
    <w:rsid w:val="6FB33A73"/>
    <w:rsid w:val="6FBF466F"/>
    <w:rsid w:val="6FC11EA3"/>
    <w:rsid w:val="6FC20304"/>
    <w:rsid w:val="6FD23EB9"/>
    <w:rsid w:val="6FD33FA6"/>
    <w:rsid w:val="6FD87889"/>
    <w:rsid w:val="6FE263D9"/>
    <w:rsid w:val="6FF0186E"/>
    <w:rsid w:val="6FFD6F1B"/>
    <w:rsid w:val="70130D26"/>
    <w:rsid w:val="70131853"/>
    <w:rsid w:val="701337BF"/>
    <w:rsid w:val="701B7BED"/>
    <w:rsid w:val="70262016"/>
    <w:rsid w:val="702D43F8"/>
    <w:rsid w:val="70343755"/>
    <w:rsid w:val="70380EF7"/>
    <w:rsid w:val="703D342E"/>
    <w:rsid w:val="703F2F7F"/>
    <w:rsid w:val="704025C2"/>
    <w:rsid w:val="70523E1D"/>
    <w:rsid w:val="70541B0F"/>
    <w:rsid w:val="705D18F2"/>
    <w:rsid w:val="707130A4"/>
    <w:rsid w:val="70721720"/>
    <w:rsid w:val="70860455"/>
    <w:rsid w:val="708C533F"/>
    <w:rsid w:val="708D2B4C"/>
    <w:rsid w:val="709267A9"/>
    <w:rsid w:val="709405A5"/>
    <w:rsid w:val="709F2BD6"/>
    <w:rsid w:val="70A324A4"/>
    <w:rsid w:val="70A42421"/>
    <w:rsid w:val="70A73F27"/>
    <w:rsid w:val="70AC4A9B"/>
    <w:rsid w:val="70B437BE"/>
    <w:rsid w:val="70B878E6"/>
    <w:rsid w:val="70C2030B"/>
    <w:rsid w:val="70C43696"/>
    <w:rsid w:val="70CA2DBA"/>
    <w:rsid w:val="70CF2A9B"/>
    <w:rsid w:val="70D641C5"/>
    <w:rsid w:val="70DC62C7"/>
    <w:rsid w:val="70DC7EA5"/>
    <w:rsid w:val="70DD2634"/>
    <w:rsid w:val="70EA1072"/>
    <w:rsid w:val="70F36E02"/>
    <w:rsid w:val="70F44339"/>
    <w:rsid w:val="70F87780"/>
    <w:rsid w:val="71003B89"/>
    <w:rsid w:val="71014DDF"/>
    <w:rsid w:val="71023A77"/>
    <w:rsid w:val="71035882"/>
    <w:rsid w:val="710C5944"/>
    <w:rsid w:val="712A714C"/>
    <w:rsid w:val="712B145E"/>
    <w:rsid w:val="71304115"/>
    <w:rsid w:val="713507DF"/>
    <w:rsid w:val="714B7F90"/>
    <w:rsid w:val="715039D9"/>
    <w:rsid w:val="716958BF"/>
    <w:rsid w:val="7170737C"/>
    <w:rsid w:val="71744308"/>
    <w:rsid w:val="717721F4"/>
    <w:rsid w:val="717D55F2"/>
    <w:rsid w:val="71812BA9"/>
    <w:rsid w:val="71842AB0"/>
    <w:rsid w:val="71842B4C"/>
    <w:rsid w:val="71890DBD"/>
    <w:rsid w:val="719A0572"/>
    <w:rsid w:val="719B4B8B"/>
    <w:rsid w:val="71A52485"/>
    <w:rsid w:val="71AB3C2B"/>
    <w:rsid w:val="71AD3E68"/>
    <w:rsid w:val="71AD7A2B"/>
    <w:rsid w:val="71B62A59"/>
    <w:rsid w:val="71C033AD"/>
    <w:rsid w:val="71CE6968"/>
    <w:rsid w:val="71D61D0F"/>
    <w:rsid w:val="71DA1E04"/>
    <w:rsid w:val="71E44430"/>
    <w:rsid w:val="71EE2949"/>
    <w:rsid w:val="71F52A97"/>
    <w:rsid w:val="720640AE"/>
    <w:rsid w:val="720A382F"/>
    <w:rsid w:val="720B45A4"/>
    <w:rsid w:val="720C130C"/>
    <w:rsid w:val="720C2E58"/>
    <w:rsid w:val="721666D7"/>
    <w:rsid w:val="721F5AED"/>
    <w:rsid w:val="72205F39"/>
    <w:rsid w:val="72242497"/>
    <w:rsid w:val="72284FDE"/>
    <w:rsid w:val="723452FA"/>
    <w:rsid w:val="7239775B"/>
    <w:rsid w:val="723C79B5"/>
    <w:rsid w:val="72430158"/>
    <w:rsid w:val="724F2CA3"/>
    <w:rsid w:val="72504C98"/>
    <w:rsid w:val="72552B82"/>
    <w:rsid w:val="72565B84"/>
    <w:rsid w:val="72581BCE"/>
    <w:rsid w:val="725A2C21"/>
    <w:rsid w:val="725B0BE2"/>
    <w:rsid w:val="72752A71"/>
    <w:rsid w:val="727C3A43"/>
    <w:rsid w:val="727F3A76"/>
    <w:rsid w:val="727F602F"/>
    <w:rsid w:val="72835132"/>
    <w:rsid w:val="728866BC"/>
    <w:rsid w:val="728D4818"/>
    <w:rsid w:val="728D4C6F"/>
    <w:rsid w:val="728E5B48"/>
    <w:rsid w:val="72904588"/>
    <w:rsid w:val="72931D47"/>
    <w:rsid w:val="72953F7D"/>
    <w:rsid w:val="7297781C"/>
    <w:rsid w:val="72A22ECB"/>
    <w:rsid w:val="72B2253C"/>
    <w:rsid w:val="72C26380"/>
    <w:rsid w:val="72E46DCA"/>
    <w:rsid w:val="72E703E3"/>
    <w:rsid w:val="72E86CB3"/>
    <w:rsid w:val="72EE7112"/>
    <w:rsid w:val="72EF1612"/>
    <w:rsid w:val="72F33ED4"/>
    <w:rsid w:val="73007D06"/>
    <w:rsid w:val="7302176C"/>
    <w:rsid w:val="73050A2E"/>
    <w:rsid w:val="7305329E"/>
    <w:rsid w:val="73087F8E"/>
    <w:rsid w:val="731E6347"/>
    <w:rsid w:val="732D5C8C"/>
    <w:rsid w:val="73340474"/>
    <w:rsid w:val="7335527B"/>
    <w:rsid w:val="733B1658"/>
    <w:rsid w:val="73453229"/>
    <w:rsid w:val="73455D2A"/>
    <w:rsid w:val="735207D6"/>
    <w:rsid w:val="7364758C"/>
    <w:rsid w:val="73655990"/>
    <w:rsid w:val="73702B9D"/>
    <w:rsid w:val="73716688"/>
    <w:rsid w:val="7373206D"/>
    <w:rsid w:val="738417D3"/>
    <w:rsid w:val="7386626F"/>
    <w:rsid w:val="73894F4D"/>
    <w:rsid w:val="739A071B"/>
    <w:rsid w:val="739A190D"/>
    <w:rsid w:val="739A637C"/>
    <w:rsid w:val="739B38DB"/>
    <w:rsid w:val="73A30B71"/>
    <w:rsid w:val="73A9066F"/>
    <w:rsid w:val="73AA6273"/>
    <w:rsid w:val="73AD70AD"/>
    <w:rsid w:val="73AF2978"/>
    <w:rsid w:val="73B371CE"/>
    <w:rsid w:val="73BC418E"/>
    <w:rsid w:val="73BF0EC9"/>
    <w:rsid w:val="73C2789C"/>
    <w:rsid w:val="73C779E4"/>
    <w:rsid w:val="73C811E0"/>
    <w:rsid w:val="73C877B5"/>
    <w:rsid w:val="73CB35F6"/>
    <w:rsid w:val="73CC747E"/>
    <w:rsid w:val="73CF064A"/>
    <w:rsid w:val="73D73491"/>
    <w:rsid w:val="73DA6C4E"/>
    <w:rsid w:val="73E327D3"/>
    <w:rsid w:val="73EF1B41"/>
    <w:rsid w:val="73F038E8"/>
    <w:rsid w:val="73F31B9F"/>
    <w:rsid w:val="73F562B3"/>
    <w:rsid w:val="73F71EFC"/>
    <w:rsid w:val="73F94790"/>
    <w:rsid w:val="73FA7B81"/>
    <w:rsid w:val="73FF354D"/>
    <w:rsid w:val="74053413"/>
    <w:rsid w:val="74060961"/>
    <w:rsid w:val="74095312"/>
    <w:rsid w:val="740D10F4"/>
    <w:rsid w:val="74136AF4"/>
    <w:rsid w:val="741459BC"/>
    <w:rsid w:val="741E7766"/>
    <w:rsid w:val="741F69D7"/>
    <w:rsid w:val="742B0BDB"/>
    <w:rsid w:val="742F2E14"/>
    <w:rsid w:val="743C6EEC"/>
    <w:rsid w:val="743D4548"/>
    <w:rsid w:val="743E3212"/>
    <w:rsid w:val="744C0549"/>
    <w:rsid w:val="744C1446"/>
    <w:rsid w:val="7453388E"/>
    <w:rsid w:val="74540CA8"/>
    <w:rsid w:val="74546785"/>
    <w:rsid w:val="74624539"/>
    <w:rsid w:val="746819AD"/>
    <w:rsid w:val="747904D6"/>
    <w:rsid w:val="747F7304"/>
    <w:rsid w:val="74847C0A"/>
    <w:rsid w:val="74887931"/>
    <w:rsid w:val="748A187E"/>
    <w:rsid w:val="748C2460"/>
    <w:rsid w:val="74952E5E"/>
    <w:rsid w:val="749722AE"/>
    <w:rsid w:val="749D6C87"/>
    <w:rsid w:val="74A42F1C"/>
    <w:rsid w:val="74AE09D9"/>
    <w:rsid w:val="74BD6FF0"/>
    <w:rsid w:val="74C107E1"/>
    <w:rsid w:val="74D13E33"/>
    <w:rsid w:val="74D54DA0"/>
    <w:rsid w:val="74D66F14"/>
    <w:rsid w:val="74DC29FF"/>
    <w:rsid w:val="74E90333"/>
    <w:rsid w:val="74E91694"/>
    <w:rsid w:val="74EC0BE3"/>
    <w:rsid w:val="74EC26A8"/>
    <w:rsid w:val="74EC4AF9"/>
    <w:rsid w:val="74F11DB2"/>
    <w:rsid w:val="74F65C26"/>
    <w:rsid w:val="75010C12"/>
    <w:rsid w:val="75261183"/>
    <w:rsid w:val="75267BF0"/>
    <w:rsid w:val="7530214A"/>
    <w:rsid w:val="753028DE"/>
    <w:rsid w:val="753327E4"/>
    <w:rsid w:val="75374269"/>
    <w:rsid w:val="75435288"/>
    <w:rsid w:val="75492D1B"/>
    <w:rsid w:val="754A0767"/>
    <w:rsid w:val="754D1541"/>
    <w:rsid w:val="754F4678"/>
    <w:rsid w:val="75652746"/>
    <w:rsid w:val="75687F31"/>
    <w:rsid w:val="757405D5"/>
    <w:rsid w:val="757820C7"/>
    <w:rsid w:val="75980C27"/>
    <w:rsid w:val="759C5EAB"/>
    <w:rsid w:val="759E500B"/>
    <w:rsid w:val="75A14A09"/>
    <w:rsid w:val="75A60C51"/>
    <w:rsid w:val="75A94EBA"/>
    <w:rsid w:val="75AB5B4E"/>
    <w:rsid w:val="75AC23A9"/>
    <w:rsid w:val="75AE00D8"/>
    <w:rsid w:val="75AF76EC"/>
    <w:rsid w:val="75B35F24"/>
    <w:rsid w:val="75BA5E79"/>
    <w:rsid w:val="75BE5AAC"/>
    <w:rsid w:val="75C24856"/>
    <w:rsid w:val="75CB5503"/>
    <w:rsid w:val="75CC5217"/>
    <w:rsid w:val="75CD38BC"/>
    <w:rsid w:val="75CE2E05"/>
    <w:rsid w:val="75D2605B"/>
    <w:rsid w:val="75E15B2A"/>
    <w:rsid w:val="75F019B4"/>
    <w:rsid w:val="75F330E4"/>
    <w:rsid w:val="75F34114"/>
    <w:rsid w:val="75F40F9E"/>
    <w:rsid w:val="75F47C0F"/>
    <w:rsid w:val="75F53C24"/>
    <w:rsid w:val="76007843"/>
    <w:rsid w:val="76064DC2"/>
    <w:rsid w:val="761D0C44"/>
    <w:rsid w:val="76205697"/>
    <w:rsid w:val="762726FC"/>
    <w:rsid w:val="762B2F12"/>
    <w:rsid w:val="762C7D91"/>
    <w:rsid w:val="7631071D"/>
    <w:rsid w:val="76317243"/>
    <w:rsid w:val="76333E9D"/>
    <w:rsid w:val="76402D3E"/>
    <w:rsid w:val="76437C6D"/>
    <w:rsid w:val="76467E93"/>
    <w:rsid w:val="764E6A3B"/>
    <w:rsid w:val="76513FEA"/>
    <w:rsid w:val="76526C71"/>
    <w:rsid w:val="765A3D85"/>
    <w:rsid w:val="766404AB"/>
    <w:rsid w:val="766D79C1"/>
    <w:rsid w:val="766E0094"/>
    <w:rsid w:val="767818D8"/>
    <w:rsid w:val="767C6C0D"/>
    <w:rsid w:val="767E68F4"/>
    <w:rsid w:val="76801C0D"/>
    <w:rsid w:val="7697457F"/>
    <w:rsid w:val="76994A03"/>
    <w:rsid w:val="769A7C8E"/>
    <w:rsid w:val="769E48AB"/>
    <w:rsid w:val="76AA651F"/>
    <w:rsid w:val="76AB7F30"/>
    <w:rsid w:val="76B45785"/>
    <w:rsid w:val="76B61474"/>
    <w:rsid w:val="76C75F8D"/>
    <w:rsid w:val="76CD097C"/>
    <w:rsid w:val="76D74AFF"/>
    <w:rsid w:val="76DE0B6D"/>
    <w:rsid w:val="76E318D3"/>
    <w:rsid w:val="76E37FB9"/>
    <w:rsid w:val="76E413DF"/>
    <w:rsid w:val="76E93C44"/>
    <w:rsid w:val="76ED5DEA"/>
    <w:rsid w:val="76EF706D"/>
    <w:rsid w:val="77055DC0"/>
    <w:rsid w:val="77100429"/>
    <w:rsid w:val="77112EB9"/>
    <w:rsid w:val="771F51FC"/>
    <w:rsid w:val="77251E0C"/>
    <w:rsid w:val="7725498F"/>
    <w:rsid w:val="774442BF"/>
    <w:rsid w:val="77495D38"/>
    <w:rsid w:val="77575565"/>
    <w:rsid w:val="775D561E"/>
    <w:rsid w:val="776A6C25"/>
    <w:rsid w:val="776F04C1"/>
    <w:rsid w:val="777D6B47"/>
    <w:rsid w:val="77810056"/>
    <w:rsid w:val="77834B1C"/>
    <w:rsid w:val="77861461"/>
    <w:rsid w:val="778D6C4A"/>
    <w:rsid w:val="77940B0C"/>
    <w:rsid w:val="77987FD4"/>
    <w:rsid w:val="77990221"/>
    <w:rsid w:val="779B0B4C"/>
    <w:rsid w:val="77BB19F3"/>
    <w:rsid w:val="77BB3B79"/>
    <w:rsid w:val="77BD6904"/>
    <w:rsid w:val="77C607A8"/>
    <w:rsid w:val="77D17BEC"/>
    <w:rsid w:val="77D36FAA"/>
    <w:rsid w:val="77D946BC"/>
    <w:rsid w:val="77E04AB3"/>
    <w:rsid w:val="77E9298C"/>
    <w:rsid w:val="77ED5C7D"/>
    <w:rsid w:val="77ED6C2F"/>
    <w:rsid w:val="77EE29EE"/>
    <w:rsid w:val="77F300EB"/>
    <w:rsid w:val="77F6270A"/>
    <w:rsid w:val="77F9646F"/>
    <w:rsid w:val="78040889"/>
    <w:rsid w:val="7808020E"/>
    <w:rsid w:val="780B0A30"/>
    <w:rsid w:val="780E4594"/>
    <w:rsid w:val="78233A3D"/>
    <w:rsid w:val="783A11C8"/>
    <w:rsid w:val="783E5082"/>
    <w:rsid w:val="78406C9D"/>
    <w:rsid w:val="784401DE"/>
    <w:rsid w:val="78500828"/>
    <w:rsid w:val="78510BD2"/>
    <w:rsid w:val="7855422A"/>
    <w:rsid w:val="785C01DB"/>
    <w:rsid w:val="787212BF"/>
    <w:rsid w:val="787A5DDF"/>
    <w:rsid w:val="787A7F77"/>
    <w:rsid w:val="788052A3"/>
    <w:rsid w:val="78967238"/>
    <w:rsid w:val="789E3E62"/>
    <w:rsid w:val="78A004BC"/>
    <w:rsid w:val="78A376CA"/>
    <w:rsid w:val="78A70A80"/>
    <w:rsid w:val="78A90237"/>
    <w:rsid w:val="78AA0A59"/>
    <w:rsid w:val="78AA3000"/>
    <w:rsid w:val="78AC3B79"/>
    <w:rsid w:val="78D3568E"/>
    <w:rsid w:val="78D74AF0"/>
    <w:rsid w:val="78E437F1"/>
    <w:rsid w:val="78ED60D9"/>
    <w:rsid w:val="78EE67B3"/>
    <w:rsid w:val="78FD09EF"/>
    <w:rsid w:val="78FF1BD1"/>
    <w:rsid w:val="79112886"/>
    <w:rsid w:val="79116F46"/>
    <w:rsid w:val="79181A14"/>
    <w:rsid w:val="791B403B"/>
    <w:rsid w:val="791F01BA"/>
    <w:rsid w:val="791F5B87"/>
    <w:rsid w:val="791F735E"/>
    <w:rsid w:val="79254A54"/>
    <w:rsid w:val="792B500E"/>
    <w:rsid w:val="79391ED7"/>
    <w:rsid w:val="793A1221"/>
    <w:rsid w:val="793A65E1"/>
    <w:rsid w:val="793B1FE0"/>
    <w:rsid w:val="79432C2C"/>
    <w:rsid w:val="79463DD3"/>
    <w:rsid w:val="794964B7"/>
    <w:rsid w:val="794B4C5D"/>
    <w:rsid w:val="794C0467"/>
    <w:rsid w:val="79551CBB"/>
    <w:rsid w:val="795F0DEA"/>
    <w:rsid w:val="79621E1C"/>
    <w:rsid w:val="796818E7"/>
    <w:rsid w:val="79723B02"/>
    <w:rsid w:val="79797794"/>
    <w:rsid w:val="797B7B22"/>
    <w:rsid w:val="797D6A52"/>
    <w:rsid w:val="797F308A"/>
    <w:rsid w:val="797F7F8A"/>
    <w:rsid w:val="79865022"/>
    <w:rsid w:val="798D4A9C"/>
    <w:rsid w:val="798F7F13"/>
    <w:rsid w:val="799C1DF5"/>
    <w:rsid w:val="79A127D6"/>
    <w:rsid w:val="79AF040D"/>
    <w:rsid w:val="79B06969"/>
    <w:rsid w:val="79B351A9"/>
    <w:rsid w:val="79D235E6"/>
    <w:rsid w:val="79D578A5"/>
    <w:rsid w:val="79D702BA"/>
    <w:rsid w:val="79E121EA"/>
    <w:rsid w:val="79E679DC"/>
    <w:rsid w:val="79F0153F"/>
    <w:rsid w:val="79F50F3A"/>
    <w:rsid w:val="79FA5FC7"/>
    <w:rsid w:val="79FB761F"/>
    <w:rsid w:val="79FF7210"/>
    <w:rsid w:val="7A003A97"/>
    <w:rsid w:val="7A020504"/>
    <w:rsid w:val="7A0555EC"/>
    <w:rsid w:val="7A097A01"/>
    <w:rsid w:val="7A0B668F"/>
    <w:rsid w:val="7A102358"/>
    <w:rsid w:val="7A103291"/>
    <w:rsid w:val="7A1322F1"/>
    <w:rsid w:val="7A164AF7"/>
    <w:rsid w:val="7A1C3A9E"/>
    <w:rsid w:val="7A2529D2"/>
    <w:rsid w:val="7A262AA2"/>
    <w:rsid w:val="7A273FC2"/>
    <w:rsid w:val="7A2D6D08"/>
    <w:rsid w:val="7A362CA4"/>
    <w:rsid w:val="7A435B5B"/>
    <w:rsid w:val="7A436F43"/>
    <w:rsid w:val="7A440FEF"/>
    <w:rsid w:val="7A4E13B3"/>
    <w:rsid w:val="7A4F3046"/>
    <w:rsid w:val="7A5401A7"/>
    <w:rsid w:val="7A5B5527"/>
    <w:rsid w:val="7A63372D"/>
    <w:rsid w:val="7A635E6E"/>
    <w:rsid w:val="7A660F98"/>
    <w:rsid w:val="7A682C4F"/>
    <w:rsid w:val="7A7551FA"/>
    <w:rsid w:val="7A800769"/>
    <w:rsid w:val="7A8800EB"/>
    <w:rsid w:val="7A8B38DC"/>
    <w:rsid w:val="7A8D2E3E"/>
    <w:rsid w:val="7A925C48"/>
    <w:rsid w:val="7A972F6F"/>
    <w:rsid w:val="7A9C55F7"/>
    <w:rsid w:val="7AA3222E"/>
    <w:rsid w:val="7AA34E06"/>
    <w:rsid w:val="7AAB3087"/>
    <w:rsid w:val="7AE634A2"/>
    <w:rsid w:val="7AE64B0D"/>
    <w:rsid w:val="7AE941CE"/>
    <w:rsid w:val="7AF10D13"/>
    <w:rsid w:val="7AFE1AF3"/>
    <w:rsid w:val="7B047C20"/>
    <w:rsid w:val="7B0B0B31"/>
    <w:rsid w:val="7B0B452A"/>
    <w:rsid w:val="7B0E5849"/>
    <w:rsid w:val="7B121223"/>
    <w:rsid w:val="7B136FA3"/>
    <w:rsid w:val="7B187B2F"/>
    <w:rsid w:val="7B1962C2"/>
    <w:rsid w:val="7B2439F2"/>
    <w:rsid w:val="7B2B6436"/>
    <w:rsid w:val="7B2D12D4"/>
    <w:rsid w:val="7B2F02B9"/>
    <w:rsid w:val="7B367B8F"/>
    <w:rsid w:val="7B371090"/>
    <w:rsid w:val="7B3E165D"/>
    <w:rsid w:val="7B4459A7"/>
    <w:rsid w:val="7B445A12"/>
    <w:rsid w:val="7B4B3610"/>
    <w:rsid w:val="7B5218B8"/>
    <w:rsid w:val="7B536E78"/>
    <w:rsid w:val="7B5842F7"/>
    <w:rsid w:val="7B624E5F"/>
    <w:rsid w:val="7B6A79B7"/>
    <w:rsid w:val="7B75534E"/>
    <w:rsid w:val="7B7C1078"/>
    <w:rsid w:val="7B7D387A"/>
    <w:rsid w:val="7B881588"/>
    <w:rsid w:val="7B886BBA"/>
    <w:rsid w:val="7B8E117B"/>
    <w:rsid w:val="7B906A3F"/>
    <w:rsid w:val="7B952B00"/>
    <w:rsid w:val="7B9B2D57"/>
    <w:rsid w:val="7BA3547F"/>
    <w:rsid w:val="7BAA54FD"/>
    <w:rsid w:val="7BB4470C"/>
    <w:rsid w:val="7BB64BBD"/>
    <w:rsid w:val="7BC24817"/>
    <w:rsid w:val="7BC827F7"/>
    <w:rsid w:val="7BD302C6"/>
    <w:rsid w:val="7BD434AB"/>
    <w:rsid w:val="7BDE3549"/>
    <w:rsid w:val="7BDF627D"/>
    <w:rsid w:val="7BE349AD"/>
    <w:rsid w:val="7BE969B7"/>
    <w:rsid w:val="7BEA608F"/>
    <w:rsid w:val="7BEC621A"/>
    <w:rsid w:val="7BF01D36"/>
    <w:rsid w:val="7BF32349"/>
    <w:rsid w:val="7BFF75E9"/>
    <w:rsid w:val="7C0008FC"/>
    <w:rsid w:val="7C087177"/>
    <w:rsid w:val="7C0909BD"/>
    <w:rsid w:val="7C122B9D"/>
    <w:rsid w:val="7C144953"/>
    <w:rsid w:val="7C152E41"/>
    <w:rsid w:val="7C1A34B0"/>
    <w:rsid w:val="7C260252"/>
    <w:rsid w:val="7C2B1940"/>
    <w:rsid w:val="7C2F05DB"/>
    <w:rsid w:val="7C2F09DE"/>
    <w:rsid w:val="7C307711"/>
    <w:rsid w:val="7C330D65"/>
    <w:rsid w:val="7C3927F0"/>
    <w:rsid w:val="7C3C19B1"/>
    <w:rsid w:val="7C401143"/>
    <w:rsid w:val="7C47233D"/>
    <w:rsid w:val="7C477169"/>
    <w:rsid w:val="7C4B3F15"/>
    <w:rsid w:val="7C576FAD"/>
    <w:rsid w:val="7C5F1405"/>
    <w:rsid w:val="7C615517"/>
    <w:rsid w:val="7C6875E1"/>
    <w:rsid w:val="7C696D5D"/>
    <w:rsid w:val="7C734DBD"/>
    <w:rsid w:val="7C7777B6"/>
    <w:rsid w:val="7C826928"/>
    <w:rsid w:val="7C894621"/>
    <w:rsid w:val="7C89477E"/>
    <w:rsid w:val="7C8A227D"/>
    <w:rsid w:val="7CAA40D8"/>
    <w:rsid w:val="7CB23F5D"/>
    <w:rsid w:val="7CB25064"/>
    <w:rsid w:val="7CC221BE"/>
    <w:rsid w:val="7CD778C1"/>
    <w:rsid w:val="7CDE0787"/>
    <w:rsid w:val="7CE00EED"/>
    <w:rsid w:val="7CE175E4"/>
    <w:rsid w:val="7CEA1171"/>
    <w:rsid w:val="7CEA748D"/>
    <w:rsid w:val="7CEF6E27"/>
    <w:rsid w:val="7CF2238D"/>
    <w:rsid w:val="7CF403AE"/>
    <w:rsid w:val="7CFD32FC"/>
    <w:rsid w:val="7D012C11"/>
    <w:rsid w:val="7D08250F"/>
    <w:rsid w:val="7D0F113C"/>
    <w:rsid w:val="7D116919"/>
    <w:rsid w:val="7D18098A"/>
    <w:rsid w:val="7D2530EB"/>
    <w:rsid w:val="7D2D1404"/>
    <w:rsid w:val="7D300477"/>
    <w:rsid w:val="7D390372"/>
    <w:rsid w:val="7D3B60A9"/>
    <w:rsid w:val="7D3F5C7C"/>
    <w:rsid w:val="7D455FB4"/>
    <w:rsid w:val="7D4C3573"/>
    <w:rsid w:val="7D4F7561"/>
    <w:rsid w:val="7D524A99"/>
    <w:rsid w:val="7D5E44BE"/>
    <w:rsid w:val="7D62107B"/>
    <w:rsid w:val="7D6334C2"/>
    <w:rsid w:val="7D6E6DF7"/>
    <w:rsid w:val="7D6F54CE"/>
    <w:rsid w:val="7D7F39B7"/>
    <w:rsid w:val="7D8854E2"/>
    <w:rsid w:val="7D8A1CA0"/>
    <w:rsid w:val="7D8B6745"/>
    <w:rsid w:val="7D9520EA"/>
    <w:rsid w:val="7D9609B3"/>
    <w:rsid w:val="7D9D7C4F"/>
    <w:rsid w:val="7DA83CE9"/>
    <w:rsid w:val="7DAB1465"/>
    <w:rsid w:val="7DB008D7"/>
    <w:rsid w:val="7DB6439C"/>
    <w:rsid w:val="7DB90387"/>
    <w:rsid w:val="7DC223A1"/>
    <w:rsid w:val="7DCD7468"/>
    <w:rsid w:val="7DD70E91"/>
    <w:rsid w:val="7DDD3DD3"/>
    <w:rsid w:val="7DDD542C"/>
    <w:rsid w:val="7DE00932"/>
    <w:rsid w:val="7DE36E27"/>
    <w:rsid w:val="7DE6127C"/>
    <w:rsid w:val="7DE813EA"/>
    <w:rsid w:val="7DE9231B"/>
    <w:rsid w:val="7DEA0BAE"/>
    <w:rsid w:val="7DF36CA4"/>
    <w:rsid w:val="7DF65901"/>
    <w:rsid w:val="7E001526"/>
    <w:rsid w:val="7E041161"/>
    <w:rsid w:val="7E07074B"/>
    <w:rsid w:val="7E08051C"/>
    <w:rsid w:val="7E0E311F"/>
    <w:rsid w:val="7E104ABE"/>
    <w:rsid w:val="7E145903"/>
    <w:rsid w:val="7E172A75"/>
    <w:rsid w:val="7E1D744A"/>
    <w:rsid w:val="7E2B682F"/>
    <w:rsid w:val="7E410C63"/>
    <w:rsid w:val="7E4D03DC"/>
    <w:rsid w:val="7E826BCE"/>
    <w:rsid w:val="7E8A7F9B"/>
    <w:rsid w:val="7E8C4EB1"/>
    <w:rsid w:val="7EA24294"/>
    <w:rsid w:val="7EA71C9A"/>
    <w:rsid w:val="7EAE2036"/>
    <w:rsid w:val="7EB06793"/>
    <w:rsid w:val="7EB5570B"/>
    <w:rsid w:val="7EBB0ABD"/>
    <w:rsid w:val="7EBE78CE"/>
    <w:rsid w:val="7EC33DEF"/>
    <w:rsid w:val="7EC41971"/>
    <w:rsid w:val="7ECC04D7"/>
    <w:rsid w:val="7ECE543E"/>
    <w:rsid w:val="7EDC1E26"/>
    <w:rsid w:val="7EE2114D"/>
    <w:rsid w:val="7EFA0885"/>
    <w:rsid w:val="7F0515B8"/>
    <w:rsid w:val="7F057545"/>
    <w:rsid w:val="7F1600FA"/>
    <w:rsid w:val="7F193C80"/>
    <w:rsid w:val="7F3958A7"/>
    <w:rsid w:val="7F3A5CC2"/>
    <w:rsid w:val="7F4514DB"/>
    <w:rsid w:val="7F5E1C98"/>
    <w:rsid w:val="7F6572F6"/>
    <w:rsid w:val="7F677E61"/>
    <w:rsid w:val="7F720997"/>
    <w:rsid w:val="7F7D4757"/>
    <w:rsid w:val="7F7E3ABD"/>
    <w:rsid w:val="7F825C52"/>
    <w:rsid w:val="7F8A3F2A"/>
    <w:rsid w:val="7F9F57DE"/>
    <w:rsid w:val="7FA50C86"/>
    <w:rsid w:val="7FA77395"/>
    <w:rsid w:val="7FA91EB4"/>
    <w:rsid w:val="7FA94E2A"/>
    <w:rsid w:val="7FB80FCE"/>
    <w:rsid w:val="7FB942B0"/>
    <w:rsid w:val="7FB9582D"/>
    <w:rsid w:val="7FC611EA"/>
    <w:rsid w:val="7FC61779"/>
    <w:rsid w:val="7FCB130F"/>
    <w:rsid w:val="7FCB1ADB"/>
    <w:rsid w:val="7FD24A25"/>
    <w:rsid w:val="7FDC261F"/>
    <w:rsid w:val="7FF553F1"/>
    <w:rsid w:val="7FFF11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5"/>
    <w:autoRedefine/>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76"/>
    <w:autoRedefine/>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77"/>
    <w:autoRedefine/>
    <w:qFormat/>
    <w:uiPriority w:val="0"/>
    <w:pPr>
      <w:autoSpaceDE w:val="0"/>
      <w:autoSpaceDN w:val="0"/>
      <w:adjustRightInd w:val="0"/>
      <w:spacing w:after="156" w:afterLines="50" w:line="360" w:lineRule="auto"/>
      <w:ind w:left="-4"/>
      <w:jc w:val="center"/>
      <w:outlineLvl w:val="2"/>
    </w:pPr>
    <w:rPr>
      <w:rFonts w:ascii="宋体" w:hAnsi="宋体" w:eastAsia="宋体" w:cs="Times New Roman"/>
      <w:b/>
      <w:color w:val="000000"/>
      <w:kern w:val="0"/>
      <w:szCs w:val="20"/>
      <w:lang w:val="en-GB"/>
    </w:rPr>
  </w:style>
  <w:style w:type="paragraph" w:styleId="5">
    <w:name w:val="heading 4"/>
    <w:basedOn w:val="1"/>
    <w:next w:val="1"/>
    <w:link w:val="74"/>
    <w:autoRedefine/>
    <w:qFormat/>
    <w:uiPriority w:val="0"/>
    <w:pPr>
      <w:keepNext/>
      <w:keepLines/>
      <w:spacing w:before="280" w:after="290" w:line="376" w:lineRule="auto"/>
      <w:outlineLvl w:val="3"/>
    </w:pPr>
    <w:rPr>
      <w:rFonts w:ascii="Arial" w:hAnsi="Arial" w:eastAsia="黑体" w:cs="Times New Roman"/>
      <w:b/>
      <w:bCs/>
      <w:sz w:val="28"/>
      <w:szCs w:val="28"/>
    </w:rPr>
  </w:style>
  <w:style w:type="paragraph" w:styleId="6">
    <w:name w:val="heading 5"/>
    <w:basedOn w:val="1"/>
    <w:next w:val="7"/>
    <w:link w:val="78"/>
    <w:autoRedefine/>
    <w:qFormat/>
    <w:uiPriority w:val="0"/>
    <w:pPr>
      <w:keepNext/>
      <w:keepLines/>
      <w:tabs>
        <w:tab w:val="left" w:pos="1008"/>
      </w:tabs>
      <w:spacing w:before="280" w:after="290" w:line="372" w:lineRule="auto"/>
      <w:ind w:left="1008" w:hanging="1008"/>
      <w:outlineLvl w:val="4"/>
    </w:pPr>
    <w:rPr>
      <w:rFonts w:ascii="Calibri" w:hAnsi="Calibri" w:eastAsia="宋体" w:cs="Times New Roman"/>
      <w:b/>
      <w:bCs/>
      <w:sz w:val="28"/>
      <w:szCs w:val="28"/>
    </w:rPr>
  </w:style>
  <w:style w:type="paragraph" w:styleId="8">
    <w:name w:val="heading 6"/>
    <w:basedOn w:val="1"/>
    <w:next w:val="1"/>
    <w:link w:val="79"/>
    <w:autoRedefine/>
    <w:qFormat/>
    <w:uiPriority w:val="0"/>
    <w:pPr>
      <w:keepNext/>
      <w:keepLines/>
      <w:tabs>
        <w:tab w:val="left" w:pos="1152"/>
      </w:tabs>
      <w:spacing w:before="240" w:after="64" w:line="317" w:lineRule="auto"/>
      <w:ind w:left="1152" w:hanging="1152"/>
      <w:outlineLvl w:val="5"/>
    </w:pPr>
    <w:rPr>
      <w:rFonts w:ascii="Cambria" w:hAnsi="Cambria" w:eastAsia="宋体" w:cs="Times New Roman"/>
      <w:b/>
      <w:bCs/>
      <w:sz w:val="24"/>
    </w:rPr>
  </w:style>
  <w:style w:type="paragraph" w:styleId="9">
    <w:name w:val="heading 7"/>
    <w:basedOn w:val="1"/>
    <w:next w:val="1"/>
    <w:link w:val="80"/>
    <w:autoRedefine/>
    <w:qFormat/>
    <w:uiPriority w:val="0"/>
    <w:pPr>
      <w:keepNext/>
      <w:keepLines/>
      <w:tabs>
        <w:tab w:val="left" w:pos="1296"/>
      </w:tabs>
      <w:spacing w:before="240" w:after="64" w:line="317" w:lineRule="auto"/>
      <w:ind w:left="1296" w:hanging="1296"/>
      <w:outlineLvl w:val="6"/>
    </w:pPr>
    <w:rPr>
      <w:rFonts w:ascii="Calibri" w:hAnsi="Calibri" w:eastAsia="宋体" w:cs="Times New Roman"/>
      <w:b/>
      <w:bCs/>
      <w:sz w:val="24"/>
    </w:rPr>
  </w:style>
  <w:style w:type="paragraph" w:styleId="10">
    <w:name w:val="heading 8"/>
    <w:basedOn w:val="1"/>
    <w:next w:val="1"/>
    <w:link w:val="81"/>
    <w:autoRedefine/>
    <w:qFormat/>
    <w:uiPriority w:val="0"/>
    <w:pPr>
      <w:keepNext/>
      <w:keepLines/>
      <w:tabs>
        <w:tab w:val="left" w:pos="1440"/>
      </w:tabs>
      <w:spacing w:before="240" w:after="64" w:line="317" w:lineRule="auto"/>
      <w:ind w:left="1440" w:hanging="1440"/>
      <w:outlineLvl w:val="7"/>
    </w:pPr>
    <w:rPr>
      <w:rFonts w:ascii="Cambria" w:hAnsi="Cambria" w:eastAsia="宋体" w:cs="Times New Roman"/>
      <w:sz w:val="24"/>
    </w:rPr>
  </w:style>
  <w:style w:type="paragraph" w:styleId="11">
    <w:name w:val="heading 9"/>
    <w:basedOn w:val="1"/>
    <w:next w:val="1"/>
    <w:link w:val="82"/>
    <w:autoRedefine/>
    <w:qFormat/>
    <w:uiPriority w:val="0"/>
    <w:pPr>
      <w:keepNext/>
      <w:keepLines/>
      <w:tabs>
        <w:tab w:val="left" w:pos="1584"/>
      </w:tabs>
      <w:spacing w:before="240" w:after="64" w:line="317" w:lineRule="auto"/>
      <w:ind w:left="1584" w:hanging="1584"/>
      <w:outlineLvl w:val="8"/>
    </w:pPr>
    <w:rPr>
      <w:rFonts w:ascii="Cambria" w:hAnsi="Cambria" w:eastAsia="宋体" w:cs="Times New Roman"/>
      <w:sz w:val="24"/>
      <w:szCs w:val="21"/>
    </w:rPr>
  </w:style>
  <w:style w:type="character" w:default="1" w:styleId="56">
    <w:name w:val="Default Paragraph Font"/>
    <w:autoRedefine/>
    <w:qFormat/>
    <w:uiPriority w:val="0"/>
    <w:rPr>
      <w:rFonts w:ascii="Times New Roman" w:hAnsi="Times New Roman" w:eastAsia="宋体" w:cs="Times New Roman"/>
    </w:rPr>
  </w:style>
  <w:style w:type="table" w:default="1" w:styleId="54">
    <w:name w:val="Normal Table"/>
    <w:autoRedefine/>
    <w:qFormat/>
    <w:uiPriority w:val="0"/>
    <w:rPr>
      <w:rFonts w:ascii="Times New Roman" w:hAnsi="Times New Roman" w:eastAsia="宋体" w:cs="Times New Roman"/>
    </w:rPr>
    <w:tblPr>
      <w:tblCellMar>
        <w:top w:w="0" w:type="dxa"/>
        <w:left w:w="108" w:type="dxa"/>
        <w:bottom w:w="0" w:type="dxa"/>
        <w:right w:w="108" w:type="dxa"/>
      </w:tblCellMar>
    </w:tblPr>
  </w:style>
  <w:style w:type="paragraph" w:customStyle="1" w:styleId="7">
    <w:name w:val="方案正文w"/>
    <w:basedOn w:val="1"/>
    <w:autoRedefine/>
    <w:qFormat/>
    <w:uiPriority w:val="0"/>
    <w:pPr>
      <w:widowControl/>
      <w:adjustRightInd w:val="0"/>
      <w:snapToGrid w:val="0"/>
      <w:spacing w:line="360" w:lineRule="auto"/>
      <w:ind w:firstLine="200" w:firstLineChars="200"/>
    </w:pPr>
    <w:rPr>
      <w:rFonts w:ascii="仿宋_GB2312" w:hAnsi="宋体" w:eastAsia="宋体" w:cs="宋体"/>
      <w:color w:val="000000"/>
      <w:kern w:val="0"/>
      <w:sz w:val="24"/>
      <w:szCs w:val="24"/>
    </w:rPr>
  </w:style>
  <w:style w:type="paragraph" w:styleId="12">
    <w:name w:val="toc 7"/>
    <w:basedOn w:val="1"/>
    <w:next w:val="1"/>
    <w:autoRedefine/>
    <w:qFormat/>
    <w:uiPriority w:val="0"/>
    <w:pPr>
      <w:ind w:left="1260"/>
      <w:jc w:val="left"/>
    </w:pPr>
    <w:rPr>
      <w:rFonts w:ascii="Times New Roman" w:hAnsi="Times New Roman" w:eastAsia="宋体" w:cs="Times New Roman"/>
      <w:sz w:val="18"/>
      <w:szCs w:val="18"/>
    </w:rPr>
  </w:style>
  <w:style w:type="paragraph" w:styleId="13">
    <w:name w:val="List Number 2"/>
    <w:basedOn w:val="1"/>
    <w:autoRedefine/>
    <w:qFormat/>
    <w:uiPriority w:val="0"/>
    <w:pPr>
      <w:tabs>
        <w:tab w:val="left" w:pos="780"/>
      </w:tabs>
      <w:ind w:left="780" w:hanging="360"/>
    </w:pPr>
    <w:rPr>
      <w:rFonts w:ascii="Times New Roman" w:hAnsi="Times New Roman" w:eastAsia="楷体_GB2312" w:cs="Times New Roman"/>
      <w:spacing w:val="-2"/>
      <w:kern w:val="15"/>
      <w:sz w:val="24"/>
      <w:szCs w:val="20"/>
    </w:rPr>
  </w:style>
  <w:style w:type="paragraph" w:styleId="14">
    <w:name w:val="Normal Indent"/>
    <w:basedOn w:val="1"/>
    <w:link w:val="83"/>
    <w:autoRedefine/>
    <w:qFormat/>
    <w:uiPriority w:val="0"/>
    <w:pPr>
      <w:widowControl/>
      <w:ind w:firstLine="420" w:firstLineChars="200"/>
      <w:jc w:val="left"/>
    </w:pPr>
    <w:rPr>
      <w:rFonts w:ascii="Times New Roman" w:hAnsi="Times New Roman" w:eastAsia="宋体" w:cs="Times New Roman"/>
      <w:kern w:val="0"/>
      <w:sz w:val="20"/>
      <w:szCs w:val="20"/>
    </w:rPr>
  </w:style>
  <w:style w:type="paragraph" w:styleId="15">
    <w:name w:val="caption"/>
    <w:basedOn w:val="1"/>
    <w:next w:val="1"/>
    <w:autoRedefine/>
    <w:qFormat/>
    <w:uiPriority w:val="0"/>
    <w:rPr>
      <w:rFonts w:ascii="Arial" w:hAnsi="Arial" w:eastAsia="黑体" w:cs="Arial"/>
      <w:sz w:val="20"/>
      <w:szCs w:val="20"/>
    </w:rPr>
  </w:style>
  <w:style w:type="paragraph" w:styleId="16">
    <w:name w:val="List Bullet"/>
    <w:basedOn w:val="1"/>
    <w:autoRedefine/>
    <w:qFormat/>
    <w:uiPriority w:val="0"/>
    <w:pPr>
      <w:tabs>
        <w:tab w:val="left" w:pos="720"/>
      </w:tabs>
      <w:ind w:left="720" w:hanging="720"/>
    </w:pPr>
    <w:rPr>
      <w:rFonts w:ascii="Times New Roman" w:hAnsi="Times New Roman" w:eastAsia="宋体" w:cs="Times New Roman"/>
      <w:color w:val="0000FF"/>
      <w:sz w:val="24"/>
      <w:szCs w:val="20"/>
    </w:rPr>
  </w:style>
  <w:style w:type="paragraph" w:styleId="17">
    <w:name w:val="Document Map"/>
    <w:basedOn w:val="1"/>
    <w:autoRedefine/>
    <w:qFormat/>
    <w:uiPriority w:val="0"/>
    <w:pPr>
      <w:shd w:val="clear" w:color="auto" w:fill="000080"/>
    </w:pPr>
    <w:rPr>
      <w:rFonts w:ascii="Times New Roman" w:hAnsi="Times New Roman" w:eastAsia="宋体" w:cs="Times New Roman"/>
    </w:rPr>
  </w:style>
  <w:style w:type="paragraph" w:styleId="18">
    <w:name w:val="annotation text"/>
    <w:basedOn w:val="1"/>
    <w:link w:val="84"/>
    <w:autoRedefine/>
    <w:qFormat/>
    <w:uiPriority w:val="0"/>
    <w:pPr>
      <w:jc w:val="left"/>
    </w:pPr>
    <w:rPr>
      <w:rFonts w:ascii="Times New Roman" w:hAnsi="Times New Roman" w:eastAsia="宋体" w:cs="Times New Roman"/>
    </w:rPr>
  </w:style>
  <w:style w:type="paragraph" w:styleId="19">
    <w:name w:val="Body Text 3"/>
    <w:basedOn w:val="1"/>
    <w:link w:val="85"/>
    <w:autoRedefine/>
    <w:qFormat/>
    <w:uiPriority w:val="0"/>
    <w:pPr>
      <w:spacing w:after="120"/>
    </w:pPr>
    <w:rPr>
      <w:rFonts w:ascii="Times New Roman" w:hAnsi="Times New Roman" w:eastAsia="宋体" w:cs="Times New Roman"/>
      <w:sz w:val="16"/>
      <w:szCs w:val="16"/>
    </w:rPr>
  </w:style>
  <w:style w:type="paragraph" w:styleId="20">
    <w:name w:val="Body Text"/>
    <w:basedOn w:val="1"/>
    <w:next w:val="1"/>
    <w:autoRedefine/>
    <w:qFormat/>
    <w:uiPriority w:val="0"/>
    <w:pPr>
      <w:spacing w:after="120"/>
    </w:pPr>
    <w:rPr>
      <w:rFonts w:ascii="Times New Roman" w:hAnsi="Times New Roman" w:eastAsia="宋体" w:cs="Times New Roman"/>
    </w:rPr>
  </w:style>
  <w:style w:type="paragraph" w:styleId="21">
    <w:name w:val="Body Text Indent"/>
    <w:basedOn w:val="1"/>
    <w:next w:val="22"/>
    <w:link w:val="86"/>
    <w:autoRedefine/>
    <w:qFormat/>
    <w:uiPriority w:val="0"/>
    <w:pPr>
      <w:spacing w:after="120"/>
      <w:ind w:left="420" w:leftChars="200"/>
    </w:pPr>
    <w:rPr>
      <w:rFonts w:ascii="Times New Roman" w:hAnsi="Times New Roman" w:eastAsia="宋体" w:cs="Times New Roman"/>
    </w:rPr>
  </w:style>
  <w:style w:type="paragraph" w:styleId="22">
    <w:name w:val="envelope return"/>
    <w:basedOn w:val="1"/>
    <w:autoRedefine/>
    <w:qFormat/>
    <w:uiPriority w:val="0"/>
    <w:pPr>
      <w:widowControl/>
      <w:snapToGrid w:val="0"/>
      <w:spacing w:line="240" w:lineRule="atLeast"/>
    </w:pPr>
    <w:rPr>
      <w:rFonts w:ascii="Arial" w:hAnsi="Arial" w:cs="Arial"/>
      <w:kern w:val="0"/>
      <w:szCs w:val="21"/>
    </w:rPr>
  </w:style>
  <w:style w:type="paragraph" w:styleId="23">
    <w:name w:val="Block Text"/>
    <w:basedOn w:val="1"/>
    <w:autoRedefine/>
    <w:qFormat/>
    <w:uiPriority w:val="0"/>
    <w:pPr>
      <w:tabs>
        <w:tab w:val="left" w:pos="773"/>
      </w:tabs>
      <w:ind w:left="592" w:leftChars="282" w:right="78" w:rightChars="37"/>
    </w:pPr>
    <w:rPr>
      <w:rFonts w:ascii="宋体" w:hAnsi="宋体" w:eastAsia="宋体" w:cs="Times New Roman"/>
      <w:sz w:val="24"/>
      <w:szCs w:val="21"/>
    </w:rPr>
  </w:style>
  <w:style w:type="paragraph" w:styleId="24">
    <w:name w:val="toc 5"/>
    <w:basedOn w:val="1"/>
    <w:next w:val="1"/>
    <w:autoRedefine/>
    <w:qFormat/>
    <w:uiPriority w:val="0"/>
    <w:pPr>
      <w:ind w:left="840"/>
      <w:jc w:val="left"/>
    </w:pPr>
    <w:rPr>
      <w:rFonts w:ascii="Times New Roman" w:hAnsi="Times New Roman" w:eastAsia="宋体" w:cs="Times New Roman"/>
      <w:sz w:val="18"/>
      <w:szCs w:val="18"/>
    </w:rPr>
  </w:style>
  <w:style w:type="paragraph" w:styleId="25">
    <w:name w:val="toc 3"/>
    <w:basedOn w:val="1"/>
    <w:next w:val="1"/>
    <w:autoRedefine/>
    <w:qFormat/>
    <w:uiPriority w:val="0"/>
    <w:pPr>
      <w:ind w:left="420"/>
      <w:jc w:val="left"/>
    </w:pPr>
    <w:rPr>
      <w:rFonts w:ascii="Times New Roman" w:hAnsi="Times New Roman" w:eastAsia="宋体" w:cs="Times New Roman"/>
      <w:i/>
      <w:iCs/>
      <w:sz w:val="20"/>
      <w:szCs w:val="20"/>
    </w:rPr>
  </w:style>
  <w:style w:type="paragraph" w:styleId="26">
    <w:name w:val="Plain Text"/>
    <w:basedOn w:val="27"/>
    <w:link w:val="87"/>
    <w:autoRedefine/>
    <w:qFormat/>
    <w:uiPriority w:val="0"/>
    <w:rPr>
      <w:rFonts w:ascii="宋体" w:hAnsi="Courier New" w:eastAsia="宋体" w:cs="Times New Roman"/>
      <w:szCs w:val="20"/>
    </w:rPr>
  </w:style>
  <w:style w:type="paragraph" w:customStyle="1" w:styleId="27">
    <w:name w:val="正文_1"/>
    <w:basedOn w:val="28"/>
    <w:next w:val="2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正文_2"/>
    <w:basedOn w:val="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正文_3"/>
    <w:autoRedefine/>
    <w:qFormat/>
    <w:uiPriority w:val="0"/>
    <w:pPr>
      <w:widowControl w:val="0"/>
      <w:jc w:val="both"/>
    </w:pPr>
    <w:rPr>
      <w:rFonts w:ascii="Calibri" w:hAnsi="Calibri" w:eastAsia="宋体" w:cs="Times New Roman"/>
      <w:kern w:val="2"/>
      <w:sz w:val="21"/>
      <w:szCs w:val="24"/>
      <w:lang w:val="en-US" w:eastAsia="zh-CN" w:bidi="ar-SA"/>
    </w:rPr>
  </w:style>
  <w:style w:type="paragraph" w:styleId="30">
    <w:name w:val="toc 8"/>
    <w:basedOn w:val="1"/>
    <w:next w:val="1"/>
    <w:autoRedefine/>
    <w:qFormat/>
    <w:uiPriority w:val="0"/>
    <w:pPr>
      <w:ind w:left="1470"/>
      <w:jc w:val="left"/>
    </w:pPr>
    <w:rPr>
      <w:rFonts w:ascii="Times New Roman" w:hAnsi="Times New Roman" w:eastAsia="宋体" w:cs="Times New Roman"/>
      <w:sz w:val="18"/>
      <w:szCs w:val="18"/>
    </w:rPr>
  </w:style>
  <w:style w:type="paragraph" w:styleId="31">
    <w:name w:val="Date"/>
    <w:basedOn w:val="1"/>
    <w:next w:val="1"/>
    <w:autoRedefine/>
    <w:qFormat/>
    <w:uiPriority w:val="0"/>
    <w:pPr>
      <w:spacing w:line="360" w:lineRule="auto"/>
      <w:ind w:left="100" w:leftChars="2500"/>
    </w:pPr>
    <w:rPr>
      <w:rFonts w:ascii="Calibri" w:hAnsi="Calibri" w:eastAsia="宋体" w:cs="Times New Roman"/>
      <w:sz w:val="24"/>
      <w:szCs w:val="22"/>
    </w:rPr>
  </w:style>
  <w:style w:type="paragraph" w:styleId="32">
    <w:name w:val="Body Text Indent 2"/>
    <w:basedOn w:val="1"/>
    <w:autoRedefine/>
    <w:qFormat/>
    <w:uiPriority w:val="0"/>
    <w:pPr>
      <w:ind w:left="552"/>
    </w:pPr>
    <w:rPr>
      <w:rFonts w:ascii="Times New Roman" w:hAnsi="Times New Roman" w:eastAsia="宋体" w:cs="Times New Roman"/>
      <w:color w:val="0000FF"/>
      <w:sz w:val="24"/>
      <w:szCs w:val="20"/>
    </w:rPr>
  </w:style>
  <w:style w:type="paragraph" w:styleId="33">
    <w:name w:val="endnote text"/>
    <w:basedOn w:val="1"/>
    <w:autoRedefine/>
    <w:qFormat/>
    <w:uiPriority w:val="0"/>
    <w:pPr>
      <w:snapToGrid w:val="0"/>
      <w:spacing w:after="0" w:afterLines="0" w:line="240" w:lineRule="auto"/>
      <w:jc w:val="left"/>
    </w:pPr>
    <w:rPr>
      <w:rFonts w:ascii="Calibri" w:hAnsi="Calibri" w:eastAsia="宋体" w:cs="Times New Roman"/>
      <w:sz w:val="18"/>
      <w:szCs w:val="18"/>
    </w:rPr>
  </w:style>
  <w:style w:type="paragraph" w:styleId="34">
    <w:name w:val="Balloon Text"/>
    <w:basedOn w:val="1"/>
    <w:link w:val="88"/>
    <w:autoRedefine/>
    <w:qFormat/>
    <w:uiPriority w:val="0"/>
    <w:rPr>
      <w:rFonts w:ascii="Times New Roman" w:hAnsi="Times New Roman" w:eastAsia="宋体" w:cs="Times New Roman"/>
      <w:sz w:val="18"/>
      <w:szCs w:val="18"/>
    </w:rPr>
  </w:style>
  <w:style w:type="paragraph" w:styleId="35">
    <w:name w:val="footer"/>
    <w:basedOn w:val="1"/>
    <w:link w:val="89"/>
    <w:autoRedefine/>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6">
    <w:name w:val="header"/>
    <w:basedOn w:val="1"/>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7">
    <w:name w:val="toc 1"/>
    <w:basedOn w:val="1"/>
    <w:next w:val="1"/>
    <w:autoRedefine/>
    <w:qFormat/>
    <w:uiPriority w:val="0"/>
    <w:pPr>
      <w:spacing w:before="120" w:after="120"/>
      <w:jc w:val="left"/>
    </w:pPr>
    <w:rPr>
      <w:rFonts w:ascii="Times New Roman" w:hAnsi="Times New Roman" w:eastAsia="宋体" w:cs="Times New Roman"/>
      <w:b/>
      <w:bCs/>
      <w:caps/>
      <w:sz w:val="20"/>
      <w:szCs w:val="20"/>
    </w:rPr>
  </w:style>
  <w:style w:type="paragraph" w:styleId="38">
    <w:name w:val="toc 4"/>
    <w:basedOn w:val="1"/>
    <w:next w:val="1"/>
    <w:autoRedefine/>
    <w:qFormat/>
    <w:uiPriority w:val="0"/>
    <w:pPr>
      <w:ind w:left="630"/>
      <w:jc w:val="left"/>
    </w:pPr>
    <w:rPr>
      <w:rFonts w:ascii="Times New Roman" w:hAnsi="Times New Roman" w:eastAsia="宋体" w:cs="Times New Roman"/>
      <w:sz w:val="18"/>
      <w:szCs w:val="18"/>
    </w:rPr>
  </w:style>
  <w:style w:type="paragraph" w:styleId="39">
    <w:name w:val="index heading"/>
    <w:basedOn w:val="1"/>
    <w:next w:val="40"/>
    <w:autoRedefine/>
    <w:qFormat/>
    <w:uiPriority w:val="0"/>
    <w:rPr>
      <w:rFonts w:ascii="Times New Roman" w:hAnsi="Times New Roman" w:eastAsia="宋体" w:cs="Times New Roman"/>
      <w:szCs w:val="20"/>
    </w:rPr>
  </w:style>
  <w:style w:type="paragraph" w:styleId="40">
    <w:name w:val="index 1"/>
    <w:basedOn w:val="1"/>
    <w:next w:val="1"/>
    <w:autoRedefine/>
    <w:qFormat/>
    <w:uiPriority w:val="0"/>
    <w:rPr>
      <w:rFonts w:ascii="Times New Roman" w:hAnsi="Times New Roman" w:eastAsia="宋体" w:cs="Times New Roman"/>
    </w:rPr>
  </w:style>
  <w:style w:type="paragraph" w:styleId="41">
    <w:name w:val="List"/>
    <w:basedOn w:val="1"/>
    <w:next w:val="1"/>
    <w:autoRedefine/>
    <w:qFormat/>
    <w:uiPriority w:val="0"/>
    <w:pPr>
      <w:ind w:left="420" w:hanging="420"/>
    </w:pPr>
  </w:style>
  <w:style w:type="paragraph" w:styleId="42">
    <w:name w:val="toc 6"/>
    <w:basedOn w:val="1"/>
    <w:next w:val="1"/>
    <w:autoRedefine/>
    <w:qFormat/>
    <w:uiPriority w:val="0"/>
    <w:pPr>
      <w:ind w:left="1050"/>
      <w:jc w:val="left"/>
    </w:pPr>
    <w:rPr>
      <w:rFonts w:ascii="Times New Roman" w:hAnsi="Times New Roman" w:eastAsia="宋体" w:cs="Times New Roman"/>
      <w:sz w:val="18"/>
      <w:szCs w:val="18"/>
    </w:rPr>
  </w:style>
  <w:style w:type="paragraph" w:styleId="43">
    <w:name w:val="Body Text Indent 3"/>
    <w:basedOn w:val="1"/>
    <w:autoRedefine/>
    <w:qFormat/>
    <w:uiPriority w:val="0"/>
    <w:pPr>
      <w:spacing w:after="120"/>
      <w:ind w:left="420" w:leftChars="200"/>
    </w:pPr>
    <w:rPr>
      <w:rFonts w:ascii="Times New Roman" w:hAnsi="Times New Roman" w:eastAsia="宋体" w:cs="Times New Roman"/>
      <w:sz w:val="16"/>
      <w:szCs w:val="16"/>
    </w:rPr>
  </w:style>
  <w:style w:type="paragraph" w:styleId="44">
    <w:name w:val="toc 2"/>
    <w:basedOn w:val="1"/>
    <w:next w:val="1"/>
    <w:autoRedefine/>
    <w:qFormat/>
    <w:uiPriority w:val="0"/>
    <w:pPr>
      <w:ind w:left="210"/>
      <w:jc w:val="left"/>
    </w:pPr>
    <w:rPr>
      <w:rFonts w:ascii="Times New Roman" w:hAnsi="Times New Roman" w:eastAsia="宋体" w:cs="Times New Roman"/>
      <w:smallCaps/>
      <w:sz w:val="20"/>
      <w:szCs w:val="20"/>
    </w:rPr>
  </w:style>
  <w:style w:type="paragraph" w:styleId="45">
    <w:name w:val="toc 9"/>
    <w:basedOn w:val="1"/>
    <w:next w:val="1"/>
    <w:autoRedefine/>
    <w:qFormat/>
    <w:uiPriority w:val="0"/>
    <w:pPr>
      <w:ind w:left="1680"/>
      <w:jc w:val="left"/>
    </w:pPr>
    <w:rPr>
      <w:rFonts w:ascii="Times New Roman" w:hAnsi="Times New Roman" w:eastAsia="宋体" w:cs="Times New Roman"/>
      <w:sz w:val="18"/>
      <w:szCs w:val="18"/>
    </w:rPr>
  </w:style>
  <w:style w:type="paragraph" w:styleId="46">
    <w:name w:val="Body Text 2"/>
    <w:basedOn w:val="1"/>
    <w:autoRedefine/>
    <w:qFormat/>
    <w:uiPriority w:val="0"/>
    <w:pPr>
      <w:jc w:val="center"/>
    </w:pPr>
    <w:rPr>
      <w:rFonts w:ascii="Times New Roman" w:hAnsi="Times New Roman" w:eastAsia="宋体" w:cs="Times New Roman"/>
      <w:szCs w:val="21"/>
    </w:rPr>
  </w:style>
  <w:style w:type="paragraph" w:styleId="47">
    <w:name w:val="HTML Preformatted"/>
    <w:basedOn w:val="1"/>
    <w:autoRedefine/>
    <w:qFormat/>
    <w:uiPriority w:val="0"/>
    <w:pPr>
      <w:spacing w:line="360" w:lineRule="auto"/>
    </w:pPr>
    <w:rPr>
      <w:rFonts w:ascii="Courier New" w:hAnsi="Courier New" w:eastAsia="宋体" w:cs="Courier New"/>
      <w:sz w:val="20"/>
      <w:szCs w:val="20"/>
    </w:rPr>
  </w:style>
  <w:style w:type="paragraph" w:styleId="48">
    <w:name w:val="Normal (Web)"/>
    <w:basedOn w:val="1"/>
    <w:autoRedefine/>
    <w:qFormat/>
    <w:uiPriority w:val="0"/>
    <w:pPr>
      <w:widowControl/>
      <w:spacing w:before="100" w:beforeAutospacing="1" w:after="100" w:afterAutospacing="1"/>
      <w:jc w:val="left"/>
    </w:pPr>
    <w:rPr>
      <w:rFonts w:ascii="宋体" w:hAnsi="宋体" w:eastAsia="宋体" w:cs="Times New Roman"/>
      <w:kern w:val="0"/>
      <w:sz w:val="15"/>
      <w:szCs w:val="15"/>
    </w:rPr>
  </w:style>
  <w:style w:type="paragraph" w:styleId="49">
    <w:name w:val="Title"/>
    <w:basedOn w:val="1"/>
    <w:next w:val="1"/>
    <w:link w:val="90"/>
    <w:autoRedefine/>
    <w:qFormat/>
    <w:uiPriority w:val="0"/>
    <w:pPr>
      <w:keepNext/>
      <w:keepLines/>
      <w:autoSpaceDE/>
      <w:autoSpaceDN/>
      <w:adjustRightInd/>
      <w:spacing w:before="120" w:after="120" w:afterLines="0" w:line="240" w:lineRule="auto"/>
      <w:ind w:left="0"/>
      <w:jc w:val="left"/>
    </w:pPr>
    <w:rPr>
      <w:rFonts w:ascii="Arial" w:hAnsi="Arial" w:eastAsia="黑体" w:cs="Times New Roman"/>
      <w:color w:val="auto"/>
      <w:kern w:val="2"/>
      <w:sz w:val="24"/>
      <w:szCs w:val="32"/>
      <w:lang w:val="en-US"/>
    </w:rPr>
  </w:style>
  <w:style w:type="paragraph" w:styleId="50">
    <w:name w:val="annotation subject"/>
    <w:basedOn w:val="18"/>
    <w:next w:val="18"/>
    <w:autoRedefine/>
    <w:qFormat/>
    <w:uiPriority w:val="0"/>
    <w:rPr>
      <w:rFonts w:ascii="Times New Roman" w:hAnsi="Times New Roman" w:eastAsia="宋体" w:cs="Times New Roman"/>
      <w:b/>
      <w:bCs/>
    </w:rPr>
  </w:style>
  <w:style w:type="paragraph" w:styleId="51">
    <w:name w:val="Body Text First Indent"/>
    <w:basedOn w:val="1"/>
    <w:next w:val="52"/>
    <w:link w:val="91"/>
    <w:autoRedefine/>
    <w:qFormat/>
    <w:uiPriority w:val="0"/>
    <w:pPr>
      <w:ind w:firstLine="420" w:firstLineChars="100"/>
    </w:pPr>
    <w:rPr>
      <w:rFonts w:ascii="Times New Roman" w:hAnsi="Times New Roman" w:eastAsia="宋体" w:cs="Times New Roman"/>
    </w:rPr>
  </w:style>
  <w:style w:type="paragraph" w:customStyle="1" w:styleId="52">
    <w:name w:val="样式 正文首行缩进 + 宋体 小四 首行缩进:  1 字符"/>
    <w:basedOn w:val="1"/>
    <w:next w:val="1"/>
    <w:autoRedefine/>
    <w:qFormat/>
    <w:uiPriority w:val="0"/>
    <w:pPr>
      <w:spacing w:after="120" w:line="360" w:lineRule="auto"/>
      <w:ind w:firstLine="150" w:firstLineChars="150"/>
    </w:pPr>
    <w:rPr>
      <w:rFonts w:ascii="宋体"/>
      <w:sz w:val="24"/>
      <w:szCs w:val="20"/>
    </w:rPr>
  </w:style>
  <w:style w:type="paragraph" w:styleId="53">
    <w:name w:val="Body Text First Indent 2"/>
    <w:basedOn w:val="21"/>
    <w:next w:val="41"/>
    <w:autoRedefine/>
    <w:qFormat/>
    <w:uiPriority w:val="0"/>
    <w:pPr>
      <w:spacing w:line="240" w:lineRule="auto"/>
      <w:ind w:firstLine="420" w:firstLineChars="200"/>
    </w:pPr>
    <w:rPr>
      <w:rFonts w:eastAsia="宋体"/>
      <w:sz w:val="21"/>
    </w:rPr>
  </w:style>
  <w:style w:type="table" w:styleId="55">
    <w:name w:val="Table Grid"/>
    <w:basedOn w:val="54"/>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autoRedefine/>
    <w:qFormat/>
    <w:uiPriority w:val="0"/>
    <w:rPr>
      <w:rFonts w:ascii="Times New Roman" w:hAnsi="Times New Roman" w:eastAsia="宋体" w:cs="Times New Roman"/>
      <w:b/>
      <w:bCs/>
    </w:rPr>
  </w:style>
  <w:style w:type="character" w:styleId="58">
    <w:name w:val="page number"/>
    <w:basedOn w:val="56"/>
    <w:autoRedefine/>
    <w:qFormat/>
    <w:uiPriority w:val="0"/>
    <w:rPr>
      <w:rFonts w:ascii="Times New Roman" w:hAnsi="Times New Roman" w:eastAsia="宋体" w:cs="Times New Roman"/>
    </w:rPr>
  </w:style>
  <w:style w:type="character" w:styleId="59">
    <w:name w:val="FollowedHyperlink"/>
    <w:autoRedefine/>
    <w:qFormat/>
    <w:uiPriority w:val="0"/>
    <w:rPr>
      <w:rFonts w:ascii="Times New Roman" w:hAnsi="Times New Roman" w:eastAsia="宋体" w:cs="Times New Roman"/>
      <w:color w:val="666666"/>
      <w:u w:val="none"/>
    </w:rPr>
  </w:style>
  <w:style w:type="character" w:styleId="60">
    <w:name w:val="Emphasis"/>
    <w:autoRedefine/>
    <w:qFormat/>
    <w:uiPriority w:val="0"/>
    <w:rPr>
      <w:rFonts w:ascii="Times New Roman" w:hAnsi="Times New Roman" w:eastAsia="宋体" w:cs="Times New Roman"/>
      <w:color w:val="CC0000"/>
    </w:rPr>
  </w:style>
  <w:style w:type="character" w:styleId="61">
    <w:name w:val="HTML Definition"/>
    <w:autoRedefine/>
    <w:qFormat/>
    <w:uiPriority w:val="0"/>
    <w:rPr>
      <w:rFonts w:ascii="Times New Roman" w:hAnsi="Times New Roman" w:eastAsia="宋体" w:cs="Times New Roman"/>
      <w:i/>
    </w:rPr>
  </w:style>
  <w:style w:type="character" w:styleId="62">
    <w:name w:val="HTML Typewriter"/>
    <w:basedOn w:val="56"/>
    <w:autoRedefine/>
    <w:qFormat/>
    <w:uiPriority w:val="0"/>
    <w:rPr>
      <w:rFonts w:ascii="monospace" w:hAnsi="monospace" w:eastAsia="monospace" w:cs="monospace"/>
      <w:sz w:val="20"/>
    </w:rPr>
  </w:style>
  <w:style w:type="character" w:styleId="63">
    <w:name w:val="HTML Acronym"/>
    <w:basedOn w:val="56"/>
    <w:autoRedefine/>
    <w:qFormat/>
    <w:uiPriority w:val="0"/>
  </w:style>
  <w:style w:type="character" w:styleId="64">
    <w:name w:val="HTML Variable"/>
    <w:basedOn w:val="56"/>
    <w:autoRedefine/>
    <w:qFormat/>
    <w:uiPriority w:val="0"/>
  </w:style>
  <w:style w:type="character" w:styleId="65">
    <w:name w:val="Hyperlink"/>
    <w:autoRedefine/>
    <w:qFormat/>
    <w:uiPriority w:val="0"/>
    <w:rPr>
      <w:rFonts w:ascii="Times New Roman" w:hAnsi="Times New Roman" w:eastAsia="宋体" w:cs="Times New Roman"/>
      <w:color w:val="666666"/>
      <w:u w:val="none"/>
    </w:rPr>
  </w:style>
  <w:style w:type="character" w:styleId="66">
    <w:name w:val="HTML Code"/>
    <w:basedOn w:val="56"/>
    <w:autoRedefine/>
    <w:qFormat/>
    <w:uiPriority w:val="0"/>
    <w:rPr>
      <w:rFonts w:hint="default" w:ascii="monospace" w:hAnsi="monospace" w:eastAsia="monospace" w:cs="monospace"/>
      <w:sz w:val="20"/>
    </w:rPr>
  </w:style>
  <w:style w:type="character" w:styleId="67">
    <w:name w:val="annotation reference"/>
    <w:autoRedefine/>
    <w:qFormat/>
    <w:uiPriority w:val="0"/>
    <w:rPr>
      <w:rFonts w:ascii="Times New Roman" w:hAnsi="Times New Roman" w:eastAsia="宋体" w:cs="Times New Roman"/>
      <w:sz w:val="21"/>
      <w:szCs w:val="21"/>
    </w:rPr>
  </w:style>
  <w:style w:type="character" w:styleId="68">
    <w:name w:val="HTML Cite"/>
    <w:basedOn w:val="56"/>
    <w:autoRedefine/>
    <w:qFormat/>
    <w:uiPriority w:val="0"/>
    <w:rPr>
      <w:rFonts w:ascii="Times New Roman" w:hAnsi="Times New Roman" w:eastAsia="宋体" w:cs="Times New Roman"/>
      <w:color w:val="008000"/>
    </w:rPr>
  </w:style>
  <w:style w:type="character" w:styleId="69">
    <w:name w:val="HTML Keyboard"/>
    <w:basedOn w:val="56"/>
    <w:autoRedefine/>
    <w:qFormat/>
    <w:uiPriority w:val="0"/>
    <w:rPr>
      <w:rFonts w:hint="default" w:ascii="monospace" w:hAnsi="monospace" w:eastAsia="monospace" w:cs="monospace"/>
      <w:sz w:val="20"/>
    </w:rPr>
  </w:style>
  <w:style w:type="character" w:styleId="70">
    <w:name w:val="HTML Sample"/>
    <w:basedOn w:val="56"/>
    <w:autoRedefine/>
    <w:qFormat/>
    <w:uiPriority w:val="0"/>
    <w:rPr>
      <w:rFonts w:hint="default" w:ascii="monospace" w:hAnsi="monospace" w:eastAsia="monospace" w:cs="monospace"/>
    </w:rPr>
  </w:style>
  <w:style w:type="paragraph" w:customStyle="1" w:styleId="71">
    <w:name w:val="正文 A"/>
    <w:autoRedefine/>
    <w:qFormat/>
    <w:uiPriority w:val="0"/>
    <w:pPr>
      <w:widowControl w:val="0"/>
      <w:jc w:val="both"/>
    </w:pPr>
    <w:rPr>
      <w:rFonts w:ascii="Times New Roman" w:hAnsi="Arial Unicode MS" w:eastAsia="Arial Unicode MS" w:cs="Arial Unicode MS"/>
      <w:color w:val="000000"/>
      <w:kern w:val="2"/>
      <w:sz w:val="21"/>
      <w:szCs w:val="21"/>
      <w:lang w:val="en-US" w:eastAsia="zh-CN" w:bidi="ar-SA"/>
    </w:rPr>
  </w:style>
  <w:style w:type="paragraph" w:customStyle="1" w:styleId="72">
    <w:name w:val="正文正"/>
    <w:basedOn w:val="1"/>
    <w:autoRedefine/>
    <w:qFormat/>
    <w:uiPriority w:val="0"/>
    <w:pPr>
      <w:spacing w:line="560" w:lineRule="exact"/>
      <w:ind w:firstLine="561"/>
    </w:pPr>
    <w:rPr>
      <w:rFonts w:eastAsia="仿宋_GB2312"/>
      <w:sz w:val="28"/>
      <w:szCs w:val="24"/>
    </w:rPr>
  </w:style>
  <w:style w:type="paragraph" w:customStyle="1" w:styleId="73">
    <w:name w:val="_Style 5"/>
    <w:autoRedefine/>
    <w:qFormat/>
    <w:uiPriority w:val="0"/>
    <w:pPr>
      <w:widowControl w:val="0"/>
      <w:ind w:firstLine="200" w:firstLineChars="200"/>
      <w:jc w:val="both"/>
    </w:pPr>
    <w:rPr>
      <w:rFonts w:ascii="Calibri" w:hAnsi="Calibri" w:eastAsia="宋体" w:cs="Times New Roman"/>
      <w:kern w:val="2"/>
      <w:sz w:val="24"/>
      <w:szCs w:val="22"/>
      <w:lang w:val="en-US" w:eastAsia="zh-CN" w:bidi="ar-SA"/>
    </w:rPr>
  </w:style>
  <w:style w:type="character" w:customStyle="1" w:styleId="74">
    <w:name w:val="标题 4 Char"/>
    <w:link w:val="5"/>
    <w:autoRedefine/>
    <w:qFormat/>
    <w:uiPriority w:val="0"/>
    <w:rPr>
      <w:rFonts w:ascii="Arial" w:hAnsi="Arial" w:eastAsia="黑体" w:cs="Times New Roman"/>
      <w:b/>
      <w:bCs/>
      <w:kern w:val="2"/>
      <w:sz w:val="28"/>
      <w:szCs w:val="28"/>
      <w:lang w:val="en-US" w:eastAsia="zh-CN" w:bidi="ar-SA"/>
    </w:rPr>
  </w:style>
  <w:style w:type="character" w:customStyle="1" w:styleId="75">
    <w:name w:val="标题 1 Char"/>
    <w:link w:val="2"/>
    <w:autoRedefine/>
    <w:qFormat/>
    <w:uiPriority w:val="0"/>
    <w:rPr>
      <w:rFonts w:ascii="Times New Roman" w:hAnsi="Times New Roman" w:eastAsia="宋体" w:cs="Times New Roman"/>
      <w:b/>
      <w:bCs/>
      <w:kern w:val="44"/>
      <w:sz w:val="44"/>
      <w:szCs w:val="44"/>
      <w:lang w:val="en-US" w:eastAsia="zh-CN" w:bidi="ar-SA"/>
    </w:rPr>
  </w:style>
  <w:style w:type="character" w:customStyle="1" w:styleId="76">
    <w:name w:val="标题 2 Char"/>
    <w:link w:val="3"/>
    <w:autoRedefine/>
    <w:qFormat/>
    <w:uiPriority w:val="0"/>
    <w:rPr>
      <w:rFonts w:ascii="Arial" w:hAnsi="Arial" w:eastAsia="黑体" w:cs="Times New Roman"/>
      <w:b/>
      <w:bCs/>
      <w:kern w:val="2"/>
      <w:sz w:val="32"/>
      <w:szCs w:val="32"/>
      <w:lang w:val="en-US" w:eastAsia="zh-CN" w:bidi="ar-SA"/>
    </w:rPr>
  </w:style>
  <w:style w:type="character" w:customStyle="1" w:styleId="77">
    <w:name w:val="标题 3 Char"/>
    <w:link w:val="4"/>
    <w:autoRedefine/>
    <w:qFormat/>
    <w:uiPriority w:val="0"/>
    <w:rPr>
      <w:rFonts w:ascii="宋体" w:hAnsi="宋体" w:eastAsia="宋体" w:cs="Times New Roman"/>
      <w:b/>
      <w:color w:val="000000"/>
      <w:sz w:val="21"/>
      <w:lang w:val="en-GB" w:eastAsia="zh-CN" w:bidi="ar-SA"/>
    </w:rPr>
  </w:style>
  <w:style w:type="character" w:customStyle="1" w:styleId="78">
    <w:name w:val="标题 5 Char"/>
    <w:link w:val="6"/>
    <w:autoRedefine/>
    <w:qFormat/>
    <w:uiPriority w:val="0"/>
    <w:rPr>
      <w:rFonts w:ascii="Calibri" w:hAnsi="Calibri" w:eastAsia="宋体" w:cs="Times New Roman"/>
      <w:b/>
      <w:bCs/>
      <w:kern w:val="2"/>
      <w:sz w:val="28"/>
      <w:szCs w:val="28"/>
      <w:lang w:bidi="ar-SA"/>
    </w:rPr>
  </w:style>
  <w:style w:type="character" w:customStyle="1" w:styleId="79">
    <w:name w:val="标题 6 Char"/>
    <w:link w:val="8"/>
    <w:autoRedefine/>
    <w:qFormat/>
    <w:uiPriority w:val="0"/>
    <w:rPr>
      <w:rFonts w:ascii="Cambria" w:hAnsi="Cambria" w:eastAsia="宋体" w:cs="Times New Roman"/>
      <w:b/>
      <w:bCs/>
      <w:kern w:val="2"/>
      <w:sz w:val="24"/>
      <w:szCs w:val="24"/>
      <w:lang w:bidi="ar-SA"/>
    </w:rPr>
  </w:style>
  <w:style w:type="character" w:customStyle="1" w:styleId="80">
    <w:name w:val="标题 7 Char"/>
    <w:link w:val="9"/>
    <w:autoRedefine/>
    <w:qFormat/>
    <w:uiPriority w:val="0"/>
    <w:rPr>
      <w:rFonts w:ascii="Calibri" w:hAnsi="Calibri" w:eastAsia="宋体" w:cs="Times New Roman"/>
      <w:b/>
      <w:bCs/>
      <w:kern w:val="2"/>
      <w:sz w:val="24"/>
      <w:szCs w:val="24"/>
      <w:lang w:bidi="ar-SA"/>
    </w:rPr>
  </w:style>
  <w:style w:type="character" w:customStyle="1" w:styleId="81">
    <w:name w:val="标题 8 Char"/>
    <w:link w:val="10"/>
    <w:autoRedefine/>
    <w:qFormat/>
    <w:uiPriority w:val="0"/>
    <w:rPr>
      <w:rFonts w:ascii="Cambria" w:hAnsi="Cambria" w:eastAsia="宋体" w:cs="Times New Roman"/>
      <w:kern w:val="2"/>
      <w:sz w:val="24"/>
      <w:szCs w:val="24"/>
      <w:lang w:bidi="ar-SA"/>
    </w:rPr>
  </w:style>
  <w:style w:type="character" w:customStyle="1" w:styleId="82">
    <w:name w:val="标题 9 Char"/>
    <w:link w:val="11"/>
    <w:autoRedefine/>
    <w:qFormat/>
    <w:uiPriority w:val="0"/>
    <w:rPr>
      <w:rFonts w:ascii="Cambria" w:hAnsi="Cambria" w:eastAsia="宋体" w:cs="Times New Roman"/>
      <w:kern w:val="2"/>
      <w:sz w:val="24"/>
      <w:szCs w:val="21"/>
      <w:lang w:bidi="ar-SA"/>
    </w:rPr>
  </w:style>
  <w:style w:type="character" w:customStyle="1" w:styleId="83">
    <w:name w:val="正文缩进 Char"/>
    <w:link w:val="14"/>
    <w:autoRedefine/>
    <w:qFormat/>
    <w:uiPriority w:val="0"/>
    <w:rPr>
      <w:rFonts w:ascii="Times New Roman" w:hAnsi="Times New Roman" w:eastAsia="宋体" w:cs="Times New Roman"/>
      <w:lang w:val="en-US" w:eastAsia="zh-CN" w:bidi="ar-SA"/>
    </w:rPr>
  </w:style>
  <w:style w:type="character" w:customStyle="1" w:styleId="84">
    <w:name w:val="批注文字 Char"/>
    <w:link w:val="18"/>
    <w:autoRedefine/>
    <w:qFormat/>
    <w:uiPriority w:val="0"/>
    <w:rPr>
      <w:rFonts w:ascii="Times New Roman" w:hAnsi="Times New Roman" w:eastAsia="宋体" w:cs="Times New Roman"/>
      <w:kern w:val="2"/>
      <w:sz w:val="21"/>
      <w:szCs w:val="24"/>
    </w:rPr>
  </w:style>
  <w:style w:type="character" w:customStyle="1" w:styleId="85">
    <w:name w:val="正文文本 3 Char"/>
    <w:link w:val="19"/>
    <w:autoRedefine/>
    <w:qFormat/>
    <w:uiPriority w:val="0"/>
    <w:rPr>
      <w:rFonts w:ascii="Times New Roman" w:hAnsi="Times New Roman" w:eastAsia="宋体" w:cs="Times New Roman"/>
      <w:kern w:val="2"/>
      <w:sz w:val="16"/>
      <w:szCs w:val="16"/>
    </w:rPr>
  </w:style>
  <w:style w:type="character" w:customStyle="1" w:styleId="86">
    <w:name w:val="正文文本缩进 Char"/>
    <w:link w:val="21"/>
    <w:autoRedefine/>
    <w:qFormat/>
    <w:uiPriority w:val="0"/>
    <w:rPr>
      <w:rFonts w:ascii="Times New Roman" w:hAnsi="Times New Roman" w:eastAsia="宋体" w:cs="Times New Roman"/>
      <w:kern w:val="2"/>
      <w:sz w:val="21"/>
      <w:szCs w:val="24"/>
      <w:lang w:val="en-US" w:eastAsia="zh-CN" w:bidi="ar-SA"/>
    </w:rPr>
  </w:style>
  <w:style w:type="character" w:customStyle="1" w:styleId="87">
    <w:name w:val="纯文本 Char"/>
    <w:link w:val="26"/>
    <w:autoRedefine/>
    <w:qFormat/>
    <w:uiPriority w:val="0"/>
    <w:rPr>
      <w:rFonts w:ascii="宋体" w:hAnsi="Courier New" w:eastAsia="宋体" w:cs="Times New Roman"/>
      <w:kern w:val="2"/>
      <w:sz w:val="21"/>
      <w:lang w:val="en-US" w:eastAsia="zh-CN" w:bidi="ar-SA"/>
    </w:rPr>
  </w:style>
  <w:style w:type="character" w:customStyle="1" w:styleId="88">
    <w:name w:val="批注框文本 Char"/>
    <w:link w:val="34"/>
    <w:autoRedefine/>
    <w:qFormat/>
    <w:uiPriority w:val="0"/>
    <w:rPr>
      <w:rFonts w:ascii="Times New Roman" w:hAnsi="Times New Roman" w:eastAsia="宋体" w:cs="Times New Roman"/>
      <w:kern w:val="2"/>
      <w:sz w:val="18"/>
      <w:szCs w:val="18"/>
      <w:lang w:val="en-US" w:eastAsia="zh-CN" w:bidi="ar-SA"/>
    </w:rPr>
  </w:style>
  <w:style w:type="character" w:customStyle="1" w:styleId="89">
    <w:name w:val="页脚 Char"/>
    <w:link w:val="35"/>
    <w:autoRedefine/>
    <w:qFormat/>
    <w:uiPriority w:val="0"/>
    <w:rPr>
      <w:rFonts w:ascii="Times New Roman" w:hAnsi="Times New Roman" w:eastAsia="宋体" w:cs="Times New Roman"/>
      <w:kern w:val="2"/>
      <w:sz w:val="18"/>
      <w:szCs w:val="18"/>
      <w:lang w:val="en-US" w:eastAsia="zh-CN" w:bidi="ar-SA"/>
    </w:rPr>
  </w:style>
  <w:style w:type="character" w:customStyle="1" w:styleId="90">
    <w:name w:val="标题 Char"/>
    <w:link w:val="49"/>
    <w:autoRedefine/>
    <w:qFormat/>
    <w:uiPriority w:val="0"/>
    <w:rPr>
      <w:rFonts w:ascii="Arial" w:hAnsi="Arial" w:eastAsia="黑体" w:cs="Times New Roman"/>
      <w:kern w:val="2"/>
      <w:sz w:val="24"/>
      <w:szCs w:val="32"/>
      <w:lang w:val="en-US" w:eastAsia="zh-CN" w:bidi="ar-SA"/>
    </w:rPr>
  </w:style>
  <w:style w:type="character" w:customStyle="1" w:styleId="91">
    <w:name w:val="正文首行缩进 Char"/>
    <w:link w:val="51"/>
    <w:autoRedefine/>
    <w:qFormat/>
    <w:uiPriority w:val="0"/>
    <w:rPr>
      <w:rFonts w:ascii="Times New Roman" w:hAnsi="Times New Roman" w:eastAsia="宋体" w:cs="Times New Roman"/>
      <w:kern w:val="2"/>
      <w:sz w:val="21"/>
      <w:szCs w:val="24"/>
      <w:lang w:val="en-US" w:eastAsia="zh-CN" w:bidi="ar-SA"/>
    </w:rPr>
  </w:style>
  <w:style w:type="character" w:customStyle="1" w:styleId="92">
    <w:name w:val="H6 Char"/>
    <w:autoRedefine/>
    <w:qFormat/>
    <w:uiPriority w:val="0"/>
    <w:rPr>
      <w:rFonts w:ascii="Times New Roman" w:hAnsi="Times New Roman" w:eastAsia="宋体" w:cs="Times New Roman"/>
      <w:sz w:val="28"/>
      <w:szCs w:val="20"/>
    </w:rPr>
  </w:style>
  <w:style w:type="character" w:customStyle="1" w:styleId="93">
    <w:name w:val="gwds_nopic2"/>
    <w:basedOn w:val="56"/>
    <w:autoRedefine/>
    <w:qFormat/>
    <w:uiPriority w:val="0"/>
    <w:rPr>
      <w:rFonts w:ascii="Times New Roman" w:hAnsi="Times New Roman" w:eastAsia="宋体" w:cs="Times New Roman"/>
    </w:rPr>
  </w:style>
  <w:style w:type="character" w:customStyle="1" w:styleId="94">
    <w:name w:val="cur2"/>
    <w:autoRedefine/>
    <w:qFormat/>
    <w:uiPriority w:val="0"/>
    <w:rPr>
      <w:rFonts w:ascii="Times New Roman" w:hAnsi="Times New Roman" w:eastAsia="宋体" w:cs="Times New Roman"/>
      <w:b/>
    </w:rPr>
  </w:style>
  <w:style w:type="character" w:customStyle="1" w:styleId="95">
    <w:name w:val="page_go"/>
    <w:autoRedefine/>
    <w:qFormat/>
    <w:uiPriority w:val="0"/>
    <w:rPr>
      <w:rFonts w:ascii="Times New Roman" w:hAnsi="Times New Roman" w:eastAsia="宋体" w:cs="Times New Roman"/>
      <w:color w:val="299BD7"/>
      <w:bdr w:val="single" w:color="299BD7" w:sz="6" w:space="0"/>
    </w:rPr>
  </w:style>
  <w:style w:type="character" w:customStyle="1" w:styleId="96">
    <w:name w:val="hover26"/>
    <w:basedOn w:val="56"/>
    <w:autoRedefine/>
    <w:qFormat/>
    <w:uiPriority w:val="0"/>
    <w:rPr>
      <w:rFonts w:ascii="Times New Roman" w:hAnsi="Times New Roman" w:eastAsia="宋体" w:cs="Times New Roman"/>
      <w:color w:val="315EFB"/>
    </w:rPr>
  </w:style>
  <w:style w:type="character" w:customStyle="1" w:styleId="97">
    <w:name w:val="on4"/>
    <w:autoRedefine/>
    <w:qFormat/>
    <w:uiPriority w:val="0"/>
    <w:rPr>
      <w:rFonts w:ascii="Times New Roman" w:hAnsi="Times New Roman" w:eastAsia="宋体" w:cs="Times New Roman"/>
      <w:color w:val="FFFFFF"/>
    </w:rPr>
  </w:style>
  <w:style w:type="character" w:customStyle="1" w:styleId="98">
    <w:name w:val="c-icon28"/>
    <w:basedOn w:val="56"/>
    <w:autoRedefine/>
    <w:qFormat/>
    <w:uiPriority w:val="0"/>
    <w:rPr>
      <w:rFonts w:ascii="Times New Roman" w:hAnsi="Times New Roman" w:eastAsia="宋体" w:cs="Times New Roman"/>
    </w:rPr>
  </w:style>
  <w:style w:type="character" w:customStyle="1" w:styleId="99">
    <w:name w:val="H3 Char"/>
    <w:autoRedefine/>
    <w:qFormat/>
    <w:uiPriority w:val="0"/>
    <w:rPr>
      <w:rFonts w:ascii="Times New Roman" w:hAnsi="Times New Roman" w:eastAsia="仿宋_GB2312" w:cs="Times New Roman"/>
      <w:b/>
      <w:bCs/>
      <w:kern w:val="2"/>
      <w:sz w:val="32"/>
      <w:szCs w:val="32"/>
      <w:lang w:val="en-US" w:eastAsia="zh-CN" w:bidi="ar-SA"/>
    </w:rPr>
  </w:style>
  <w:style w:type="character" w:customStyle="1" w:styleId="100">
    <w:name w:val="font41"/>
    <w:basedOn w:val="56"/>
    <w:autoRedefine/>
    <w:qFormat/>
    <w:uiPriority w:val="0"/>
    <w:rPr>
      <w:rFonts w:hint="eastAsia" w:ascii="仿宋" w:hAnsi="仿宋" w:eastAsia="仿宋" w:cs="仿宋"/>
      <w:color w:val="000000"/>
      <w:sz w:val="22"/>
      <w:szCs w:val="22"/>
      <w:u w:val="none"/>
    </w:rPr>
  </w:style>
  <w:style w:type="character" w:customStyle="1" w:styleId="101">
    <w:name w:val="marklong"/>
    <w:basedOn w:val="56"/>
    <w:autoRedefine/>
    <w:qFormat/>
    <w:uiPriority w:val="0"/>
    <w:rPr>
      <w:rFonts w:ascii="Times New Roman" w:hAnsi="Times New Roman" w:eastAsia="宋体" w:cs="Times New Roman"/>
    </w:rPr>
  </w:style>
  <w:style w:type="character" w:customStyle="1" w:styleId="102">
    <w:name w:val="aspan1"/>
    <w:autoRedefine/>
    <w:qFormat/>
    <w:uiPriority w:val="0"/>
    <w:rPr>
      <w:rFonts w:ascii="Times New Roman" w:hAnsi="Times New Roman" w:eastAsia="宋体" w:cs="Times New Roman"/>
      <w:b/>
      <w:color w:val="FFFFFF"/>
      <w:bdr w:val="single" w:color="299BD7" w:sz="6" w:space="0"/>
      <w:shd w:val="clear" w:color="auto" w:fill="299BD7"/>
    </w:rPr>
  </w:style>
  <w:style w:type="character" w:customStyle="1" w:styleId="103">
    <w:name w:val="我的居中T Char"/>
    <w:link w:val="104"/>
    <w:autoRedefine/>
    <w:qFormat/>
    <w:uiPriority w:val="0"/>
    <w:rPr>
      <w:rFonts w:ascii="Times New Roman" w:hAnsi="Times New Roman" w:eastAsia="宋体" w:cs="Times New Roman"/>
      <w:kern w:val="2"/>
      <w:sz w:val="24"/>
      <w:szCs w:val="24"/>
      <w:lang w:val="en-US" w:eastAsia="zh-CN" w:bidi="ar-SA"/>
    </w:rPr>
  </w:style>
  <w:style w:type="paragraph" w:customStyle="1" w:styleId="104">
    <w:name w:val="我的居中T"/>
    <w:basedOn w:val="1"/>
    <w:link w:val="103"/>
    <w:autoRedefine/>
    <w:qFormat/>
    <w:uiPriority w:val="0"/>
    <w:pPr>
      <w:jc w:val="center"/>
    </w:pPr>
    <w:rPr>
      <w:rFonts w:ascii="Times New Roman" w:hAnsi="Times New Roman" w:eastAsia="宋体" w:cs="Times New Roman"/>
      <w:sz w:val="24"/>
    </w:rPr>
  </w:style>
  <w:style w:type="character" w:customStyle="1" w:styleId="105">
    <w:name w:val="small"/>
    <w:basedOn w:val="56"/>
    <w:autoRedefine/>
    <w:qFormat/>
    <w:uiPriority w:val="0"/>
    <w:rPr>
      <w:rFonts w:ascii="Times New Roman" w:hAnsi="Times New Roman" w:eastAsia="宋体" w:cs="Times New Roman"/>
    </w:rPr>
  </w:style>
  <w:style w:type="character" w:customStyle="1" w:styleId="106">
    <w:name w:val="_Style 100"/>
    <w:autoRedefine/>
    <w:qFormat/>
    <w:uiPriority w:val="0"/>
    <w:rPr>
      <w:rFonts w:ascii="Times New Roman" w:hAnsi="Times New Roman" w:eastAsia="宋体" w:cs="Times New Roman"/>
      <w:b/>
      <w:bCs/>
      <w:smallCaps/>
      <w:spacing w:val="5"/>
    </w:rPr>
  </w:style>
  <w:style w:type="character" w:customStyle="1" w:styleId="107">
    <w:name w:val=" Char Char4"/>
    <w:autoRedefine/>
    <w:qFormat/>
    <w:uiPriority w:val="0"/>
    <w:rPr>
      <w:rFonts w:ascii="Times New Roman" w:hAnsi="Times New Roman" w:eastAsia="宋体" w:cs="Times New Roman"/>
      <w:kern w:val="2"/>
      <w:sz w:val="18"/>
      <w:szCs w:val="18"/>
      <w:lang w:val="en-US" w:eastAsia="zh-CN" w:bidi="ar-SA"/>
    </w:rPr>
  </w:style>
  <w:style w:type="character" w:customStyle="1" w:styleId="108">
    <w:name w:val=" Char Char12"/>
    <w:autoRedefine/>
    <w:qFormat/>
    <w:uiPriority w:val="0"/>
    <w:rPr>
      <w:rFonts w:ascii="LucidaSans" w:hAnsi="LucidaSans" w:eastAsia="宋体" w:cs="Times New Roman"/>
      <w:b/>
      <w:color w:val="000000"/>
      <w:spacing w:val="20"/>
      <w:kern w:val="0"/>
      <w:sz w:val="20"/>
      <w:szCs w:val="20"/>
      <w:lang w:val="fr-FR"/>
    </w:rPr>
  </w:style>
  <w:style w:type="character" w:customStyle="1" w:styleId="109">
    <w:name w:val=" Char Char10"/>
    <w:autoRedefine/>
    <w:qFormat/>
    <w:uiPriority w:val="0"/>
    <w:rPr>
      <w:rFonts w:ascii="Calibri" w:hAnsi="Calibri" w:eastAsia="宋体" w:cs="Times New Roman"/>
      <w:b/>
      <w:bCs/>
      <w:kern w:val="44"/>
      <w:sz w:val="44"/>
      <w:szCs w:val="44"/>
      <w:lang w:val="en-US" w:eastAsia="zh-CN" w:bidi="ar-SA"/>
    </w:rPr>
  </w:style>
  <w:style w:type="character" w:customStyle="1" w:styleId="110">
    <w:name w:val="NormalCharacter"/>
    <w:autoRedefine/>
    <w:qFormat/>
    <w:uiPriority w:val="0"/>
    <w:rPr>
      <w:rFonts w:ascii="Calibri" w:hAnsi="Calibri" w:eastAsia="宋体" w:cs="Times New Roman"/>
      <w:kern w:val="2"/>
      <w:sz w:val="21"/>
      <w:szCs w:val="24"/>
      <w:lang w:val="en-US" w:eastAsia="zh-CN" w:bidi="ar-SA"/>
    </w:rPr>
  </w:style>
  <w:style w:type="character" w:customStyle="1" w:styleId="111">
    <w:name w:val=" Char Char9"/>
    <w:autoRedefine/>
    <w:qFormat/>
    <w:uiPriority w:val="0"/>
    <w:rPr>
      <w:rFonts w:ascii="Times New Roman" w:hAnsi="Times New Roman" w:eastAsia="宋体" w:cs="Times New Roman"/>
      <w:b/>
      <w:bCs/>
      <w:kern w:val="44"/>
      <w:sz w:val="44"/>
      <w:szCs w:val="44"/>
      <w:lang w:val="en-US" w:eastAsia="zh-CN" w:bidi="ar-SA"/>
    </w:rPr>
  </w:style>
  <w:style w:type="character" w:customStyle="1" w:styleId="112">
    <w:name w:val="gwds_nopic"/>
    <w:basedOn w:val="56"/>
    <w:autoRedefine/>
    <w:qFormat/>
    <w:uiPriority w:val="0"/>
    <w:rPr>
      <w:rFonts w:ascii="Times New Roman" w:hAnsi="Times New Roman" w:eastAsia="宋体" w:cs="Times New Roman"/>
    </w:rPr>
  </w:style>
  <w:style w:type="character" w:customStyle="1" w:styleId="113">
    <w:name w:val="H5 Char"/>
    <w:autoRedefine/>
    <w:qFormat/>
    <w:uiPriority w:val="0"/>
    <w:rPr>
      <w:rFonts w:ascii="Times New Roman" w:hAnsi="Times New Roman" w:eastAsia="宋体" w:cs="Times New Roman"/>
      <w:b/>
      <w:bCs/>
      <w:sz w:val="28"/>
      <w:szCs w:val="28"/>
    </w:rPr>
  </w:style>
  <w:style w:type="character" w:customStyle="1" w:styleId="114">
    <w:name w:val="标题 1 1 Char"/>
    <w:autoRedefine/>
    <w:qFormat/>
    <w:uiPriority w:val="0"/>
    <w:rPr>
      <w:rFonts w:ascii="Times New Roman" w:hAnsi="Times New Roman" w:eastAsia="宋体" w:cs="Times New Roman"/>
      <w:b/>
      <w:bCs/>
      <w:kern w:val="44"/>
      <w:sz w:val="44"/>
      <w:szCs w:val="44"/>
    </w:rPr>
  </w:style>
  <w:style w:type="character" w:customStyle="1" w:styleId="115">
    <w:name w:val="正文(首行缩进) Char"/>
    <w:link w:val="116"/>
    <w:autoRedefine/>
    <w:qFormat/>
    <w:uiPriority w:val="0"/>
    <w:rPr>
      <w:rFonts w:ascii="Arial Narrow" w:hAnsi="Arial Narrow" w:eastAsia="宋体" w:cs="Times New Roman"/>
      <w:kern w:val="2"/>
      <w:sz w:val="24"/>
      <w:szCs w:val="24"/>
      <w:lang w:bidi="ar-SA"/>
    </w:rPr>
  </w:style>
  <w:style w:type="paragraph" w:customStyle="1" w:styleId="116">
    <w:name w:val="正文(首行缩进)"/>
    <w:basedOn w:val="1"/>
    <w:link w:val="115"/>
    <w:autoRedefine/>
    <w:qFormat/>
    <w:uiPriority w:val="0"/>
    <w:pPr>
      <w:spacing w:line="360" w:lineRule="auto"/>
      <w:ind w:firstLine="200" w:firstLineChars="200"/>
    </w:pPr>
    <w:rPr>
      <w:rFonts w:ascii="Arial Narrow" w:hAnsi="Arial Narrow" w:eastAsia="宋体" w:cs="Times New Roman"/>
      <w:sz w:val="24"/>
    </w:rPr>
  </w:style>
  <w:style w:type="character" w:customStyle="1" w:styleId="117">
    <w:name w:val="表格文字 Char"/>
    <w:link w:val="118"/>
    <w:autoRedefine/>
    <w:qFormat/>
    <w:uiPriority w:val="0"/>
    <w:rPr>
      <w:rFonts w:ascii="Times New Roman" w:hAnsi="Times New Roman" w:eastAsia="宋体" w:cs="Times New Roman"/>
      <w:bCs/>
      <w:spacing w:val="10"/>
      <w:sz w:val="24"/>
    </w:rPr>
  </w:style>
  <w:style w:type="paragraph" w:customStyle="1" w:styleId="118">
    <w:name w:val="表格文字"/>
    <w:basedOn w:val="1"/>
    <w:link w:val="117"/>
    <w:autoRedefine/>
    <w:qFormat/>
    <w:uiPriority w:val="0"/>
    <w:pPr>
      <w:spacing w:before="25" w:after="25"/>
      <w:jc w:val="left"/>
    </w:pPr>
    <w:rPr>
      <w:rFonts w:ascii="Times New Roman" w:hAnsi="Times New Roman" w:eastAsia="宋体" w:cs="Times New Roman"/>
      <w:bCs/>
      <w:spacing w:val="10"/>
      <w:kern w:val="0"/>
      <w:sz w:val="24"/>
      <w:szCs w:val="20"/>
    </w:rPr>
  </w:style>
  <w:style w:type="character" w:customStyle="1" w:styleId="119">
    <w:name w:val="标书正文:  0.74 厘米 Char"/>
    <w:link w:val="120"/>
    <w:autoRedefine/>
    <w:qFormat/>
    <w:uiPriority w:val="0"/>
    <w:rPr>
      <w:rFonts w:ascii="Times New Roman" w:hAnsi="Times New Roman" w:eastAsia="宋体" w:cs="宋体"/>
      <w:kern w:val="2"/>
      <w:sz w:val="24"/>
      <w:lang w:val="en-US" w:eastAsia="zh-CN" w:bidi="ar-SA"/>
    </w:rPr>
  </w:style>
  <w:style w:type="paragraph" w:customStyle="1" w:styleId="120">
    <w:name w:val="标书正文:  0.74 厘米"/>
    <w:basedOn w:val="1"/>
    <w:link w:val="119"/>
    <w:autoRedefine/>
    <w:qFormat/>
    <w:uiPriority w:val="0"/>
    <w:pPr>
      <w:snapToGrid w:val="0"/>
      <w:spacing w:line="360" w:lineRule="auto"/>
      <w:ind w:firstLine="420"/>
    </w:pPr>
    <w:rPr>
      <w:rFonts w:ascii="Times New Roman" w:hAnsi="Times New Roman" w:eastAsia="宋体" w:cs="宋体"/>
      <w:sz w:val="24"/>
      <w:szCs w:val="20"/>
    </w:rPr>
  </w:style>
  <w:style w:type="character" w:customStyle="1" w:styleId="121">
    <w:name w:val=" Char Char3"/>
    <w:autoRedefine/>
    <w:qFormat/>
    <w:uiPriority w:val="0"/>
    <w:rPr>
      <w:rFonts w:ascii="Times New Roman" w:hAnsi="Times New Roman" w:eastAsia="宋体" w:cs="Times New Roman"/>
      <w:b/>
      <w:bCs/>
      <w:kern w:val="2"/>
      <w:sz w:val="32"/>
      <w:szCs w:val="32"/>
    </w:rPr>
  </w:style>
  <w:style w:type="character" w:customStyle="1" w:styleId="122">
    <w:name w:val="正文（缩进） Char"/>
    <w:link w:val="123"/>
    <w:autoRedefine/>
    <w:qFormat/>
    <w:uiPriority w:val="0"/>
    <w:rPr>
      <w:rFonts w:ascii="Times New Roman" w:hAnsi="Times New Roman" w:eastAsia="宋体" w:cs="Times New Roman"/>
      <w:sz w:val="24"/>
      <w:szCs w:val="24"/>
      <w:lang w:val="en-US" w:eastAsia="en-US" w:bidi="en-US"/>
    </w:rPr>
  </w:style>
  <w:style w:type="paragraph" w:customStyle="1" w:styleId="123">
    <w:name w:val="正文（缩进）"/>
    <w:basedOn w:val="1"/>
    <w:link w:val="122"/>
    <w:autoRedefine/>
    <w:qFormat/>
    <w:uiPriority w:val="0"/>
    <w:pPr>
      <w:widowControl/>
      <w:spacing w:beforeLines="50" w:afterLines="50"/>
      <w:jc w:val="left"/>
    </w:pPr>
    <w:rPr>
      <w:rFonts w:ascii="Times New Roman" w:hAnsi="Times New Roman" w:eastAsia="宋体" w:cs="Times New Roman"/>
      <w:kern w:val="0"/>
      <w:sz w:val="24"/>
      <w:lang w:eastAsia="en-US" w:bidi="en-US"/>
    </w:rPr>
  </w:style>
  <w:style w:type="character" w:customStyle="1" w:styleId="124">
    <w:name w:val="aspan2"/>
    <w:autoRedefine/>
    <w:qFormat/>
    <w:uiPriority w:val="0"/>
    <w:rPr>
      <w:rFonts w:ascii="Times New Roman" w:hAnsi="Times New Roman" w:eastAsia="宋体" w:cs="Times New Roman"/>
      <w:color w:val="299BD7"/>
      <w:bdr w:val="single" w:color="299BD7" w:sz="6" w:space="0"/>
      <w:shd w:val="clear" w:color="auto" w:fill="FFFFFF"/>
    </w:rPr>
  </w:style>
  <w:style w:type="character" w:customStyle="1" w:styleId="125">
    <w:name w:val="hover25"/>
    <w:basedOn w:val="56"/>
    <w:autoRedefine/>
    <w:qFormat/>
    <w:uiPriority w:val="0"/>
    <w:rPr>
      <w:rFonts w:ascii="Times New Roman" w:hAnsi="Times New Roman" w:eastAsia="宋体" w:cs="Times New Roman"/>
    </w:rPr>
  </w:style>
  <w:style w:type="character" w:customStyle="1" w:styleId="126">
    <w:name w:val="articlepic1"/>
    <w:autoRedefine/>
    <w:qFormat/>
    <w:uiPriority w:val="0"/>
    <w:rPr>
      <w:rFonts w:ascii="Times New Roman" w:hAnsi="Times New Roman" w:eastAsia="宋体" w:cs="Times New Roman"/>
      <w:b/>
      <w:bCs/>
      <w:sz w:val="22"/>
      <w:szCs w:val="22"/>
    </w:rPr>
  </w:style>
  <w:style w:type="character" w:customStyle="1" w:styleId="127">
    <w:name w:val="bold1"/>
    <w:autoRedefine/>
    <w:qFormat/>
    <w:uiPriority w:val="0"/>
    <w:rPr>
      <w:rFonts w:hint="default" w:ascii="_x000B__x000C_" w:hAnsi="_x000B__x000C_" w:eastAsia="宋体" w:cs="Times New Roman"/>
      <w:b/>
      <w:bCs/>
      <w:color w:val="000000"/>
      <w:sz w:val="18"/>
      <w:szCs w:val="18"/>
    </w:rPr>
  </w:style>
  <w:style w:type="character" w:customStyle="1" w:styleId="128">
    <w:name w:val="font31"/>
    <w:basedOn w:val="56"/>
    <w:autoRedefine/>
    <w:qFormat/>
    <w:uiPriority w:val="0"/>
    <w:rPr>
      <w:rFonts w:hint="eastAsia" w:ascii="仿宋" w:hAnsi="仿宋" w:eastAsia="仿宋" w:cs="仿宋"/>
      <w:color w:val="000000"/>
      <w:sz w:val="20"/>
      <w:szCs w:val="20"/>
      <w:u w:val="none"/>
    </w:rPr>
  </w:style>
  <w:style w:type="character" w:customStyle="1" w:styleId="129">
    <w:name w:val="无间隔 Char"/>
    <w:link w:val="130"/>
    <w:autoRedefine/>
    <w:qFormat/>
    <w:uiPriority w:val="0"/>
    <w:rPr>
      <w:rFonts w:ascii="Times New Roman" w:hAnsi="Times New Roman" w:eastAsia="宋体" w:cs="Times New Roman"/>
      <w:sz w:val="22"/>
      <w:szCs w:val="22"/>
      <w:lang w:val="en-US" w:eastAsia="zh-CN" w:bidi="ar-SA"/>
    </w:rPr>
  </w:style>
  <w:style w:type="paragraph" w:styleId="130">
    <w:name w:val="No Spacing"/>
    <w:link w:val="129"/>
    <w:autoRedefine/>
    <w:qFormat/>
    <w:uiPriority w:val="0"/>
    <w:rPr>
      <w:rFonts w:ascii="Times New Roman" w:hAnsi="Times New Roman" w:eastAsia="宋体" w:cs="Times New Roman"/>
      <w:sz w:val="22"/>
      <w:szCs w:val="22"/>
      <w:lang w:val="en-US" w:eastAsia="zh-CN" w:bidi="ar-SA"/>
    </w:rPr>
  </w:style>
  <w:style w:type="character" w:customStyle="1" w:styleId="131">
    <w:name w:val="样式 正文缩进表正文正文非缩进特点body text鋘drad???ändBody Text(ch)ALT+Z... Char"/>
    <w:link w:val="132"/>
    <w:autoRedefine/>
    <w:qFormat/>
    <w:uiPriority w:val="0"/>
    <w:rPr>
      <w:rFonts w:ascii="宋体" w:hAnsi="宋体" w:eastAsia="宋体" w:cs="Times New Roman"/>
      <w:kern w:val="2"/>
      <w:sz w:val="24"/>
      <w:lang w:val="en-US" w:eastAsia="zh-CN" w:bidi="ar-SA"/>
    </w:rPr>
  </w:style>
  <w:style w:type="paragraph" w:customStyle="1" w:styleId="132">
    <w:name w:val="样式 正文缩进表正文正文非缩进特点body text鋘drad???ändBody Text(ch)ALT+Z..."/>
    <w:basedOn w:val="14"/>
    <w:link w:val="131"/>
    <w:autoRedefine/>
    <w:qFormat/>
    <w:uiPriority w:val="0"/>
    <w:pPr>
      <w:widowControl w:val="0"/>
      <w:autoSpaceDE w:val="0"/>
      <w:autoSpaceDN w:val="0"/>
      <w:spacing w:line="360" w:lineRule="auto"/>
      <w:ind w:firstLine="200"/>
      <w:jc w:val="both"/>
    </w:pPr>
    <w:rPr>
      <w:rFonts w:ascii="宋体" w:hAnsi="宋体" w:eastAsia="宋体" w:cs="Times New Roman"/>
      <w:kern w:val="2"/>
      <w:sz w:val="24"/>
    </w:rPr>
  </w:style>
  <w:style w:type="character" w:customStyle="1" w:styleId="133">
    <w:name w:val="normal1"/>
    <w:autoRedefine/>
    <w:qFormat/>
    <w:uiPriority w:val="0"/>
    <w:rPr>
      <w:rFonts w:ascii="Times New Roman" w:hAnsi="Times New Roman" w:eastAsia="宋体" w:cs="Times New Roman"/>
      <w:color w:val="000000"/>
    </w:rPr>
  </w:style>
  <w:style w:type="character" w:customStyle="1" w:styleId="134">
    <w:name w:val="cur1"/>
    <w:autoRedefine/>
    <w:qFormat/>
    <w:uiPriority w:val="0"/>
    <w:rPr>
      <w:rFonts w:ascii="Times New Roman" w:hAnsi="Times New Roman" w:eastAsia="宋体" w:cs="Times New Roman"/>
      <w:shd w:val="clear" w:color="auto" w:fill="FF0000"/>
    </w:rPr>
  </w:style>
  <w:style w:type="character" w:customStyle="1" w:styleId="135">
    <w:name w:val="normal"/>
    <w:autoRedefine/>
    <w:qFormat/>
    <w:uiPriority w:val="0"/>
    <w:rPr>
      <w:rFonts w:ascii="Times New Roman" w:hAnsi="Times New Roman" w:eastAsia="宋体" w:cs="Times New Roman"/>
      <w:color w:val="FFFFFF"/>
    </w:rPr>
  </w:style>
  <w:style w:type="character" w:customStyle="1" w:styleId="136">
    <w:name w:val="正文二级标题 Char"/>
    <w:autoRedefine/>
    <w:qFormat/>
    <w:uiPriority w:val="0"/>
    <w:rPr>
      <w:rFonts w:ascii="Arial" w:hAnsi="Arial" w:eastAsia="黑体" w:cs="Times New Roman"/>
      <w:b/>
      <w:bCs/>
      <w:kern w:val="2"/>
      <w:sz w:val="32"/>
      <w:szCs w:val="32"/>
      <w:lang w:val="en-US" w:eastAsia="zh-CN" w:bidi="ar-SA"/>
    </w:rPr>
  </w:style>
  <w:style w:type="character" w:customStyle="1" w:styleId="137">
    <w:name w:val="aspan"/>
    <w:autoRedefine/>
    <w:qFormat/>
    <w:uiPriority w:val="0"/>
    <w:rPr>
      <w:rFonts w:ascii="Times New Roman" w:hAnsi="Times New Roman" w:eastAsia="宋体" w:cs="Times New Roman"/>
      <w:color w:val="299BD7"/>
      <w:bdr w:val="single" w:color="299BD7" w:sz="6" w:space="0"/>
      <w:shd w:val="clear" w:color="auto" w:fill="FFFFFF"/>
    </w:rPr>
  </w:style>
  <w:style w:type="character" w:customStyle="1" w:styleId="138">
    <w:name w:val="我的正文Z Char"/>
    <w:link w:val="139"/>
    <w:autoRedefine/>
    <w:qFormat/>
    <w:uiPriority w:val="0"/>
    <w:rPr>
      <w:rFonts w:ascii="Times New Roman" w:hAnsi="Times New Roman" w:eastAsia="宋体" w:cs="宋体"/>
      <w:kern w:val="2"/>
      <w:sz w:val="24"/>
      <w:lang w:val="en-US" w:eastAsia="zh-CN" w:bidi="ar-SA"/>
    </w:rPr>
  </w:style>
  <w:style w:type="paragraph" w:customStyle="1" w:styleId="139">
    <w:name w:val="我的正文Z"/>
    <w:basedOn w:val="1"/>
    <w:link w:val="138"/>
    <w:autoRedefine/>
    <w:qFormat/>
    <w:uiPriority w:val="0"/>
    <w:pPr>
      <w:spacing w:line="360" w:lineRule="auto"/>
      <w:ind w:firstLine="480" w:firstLineChars="200"/>
    </w:pPr>
    <w:rPr>
      <w:rFonts w:ascii="Times New Roman" w:hAnsi="Times New Roman" w:eastAsia="宋体" w:cs="宋体"/>
      <w:sz w:val="24"/>
      <w:szCs w:val="20"/>
    </w:rPr>
  </w:style>
  <w:style w:type="character" w:customStyle="1" w:styleId="140">
    <w:name w:val="UserStyle_38"/>
    <w:basedOn w:val="110"/>
    <w:autoRedefine/>
    <w:qFormat/>
    <w:uiPriority w:val="0"/>
    <w:rPr>
      <w:rFonts w:ascii="仿宋" w:hAnsi="仿宋" w:eastAsia="仿宋" w:cs="Times New Roman"/>
      <w:color w:val="000000"/>
      <w:sz w:val="20"/>
      <w:szCs w:val="20"/>
    </w:rPr>
  </w:style>
  <w:style w:type="character" w:customStyle="1" w:styleId="141">
    <w:name w:val=" Char Char2"/>
    <w:autoRedefine/>
    <w:qFormat/>
    <w:uiPriority w:val="0"/>
    <w:rPr>
      <w:rFonts w:ascii="Times New Roman" w:hAnsi="Times New Roman" w:eastAsia="宋体" w:cs="Times New Roman"/>
      <w:kern w:val="2"/>
      <w:sz w:val="18"/>
      <w:szCs w:val="18"/>
    </w:rPr>
  </w:style>
  <w:style w:type="character" w:customStyle="1" w:styleId="142">
    <w:name w:val="cur"/>
    <w:autoRedefine/>
    <w:qFormat/>
    <w:uiPriority w:val="0"/>
    <w:rPr>
      <w:rFonts w:ascii="Times New Roman" w:hAnsi="Times New Roman" w:eastAsia="宋体" w:cs="Times New Roman"/>
      <w:b/>
    </w:rPr>
  </w:style>
  <w:style w:type="character" w:customStyle="1" w:styleId="143">
    <w:name w:val="field14"/>
    <w:autoRedefine/>
    <w:qFormat/>
    <w:uiPriority w:val="0"/>
    <w:rPr>
      <w:rFonts w:ascii="Times New Roman" w:hAnsi="Times New Roman" w:eastAsia="宋体" w:cs="Times New Roman"/>
      <w:b/>
      <w:bCs/>
    </w:rPr>
  </w:style>
  <w:style w:type="character" w:customStyle="1" w:styleId="144">
    <w:name w:val=" Char Char14"/>
    <w:autoRedefine/>
    <w:qFormat/>
    <w:uiPriority w:val="0"/>
    <w:rPr>
      <w:rFonts w:ascii="华文中宋" w:hAnsi="华文中宋" w:eastAsia="华文中宋" w:cs="Times New Roman"/>
      <w:b/>
      <w:bCs/>
      <w:sz w:val="28"/>
      <w:szCs w:val="21"/>
      <w:u w:val="single"/>
    </w:rPr>
  </w:style>
  <w:style w:type="character" w:customStyle="1" w:styleId="145">
    <w:name w:val="gwds_nopic1"/>
    <w:basedOn w:val="56"/>
    <w:autoRedefine/>
    <w:qFormat/>
    <w:uiPriority w:val="0"/>
    <w:rPr>
      <w:rFonts w:ascii="Times New Roman" w:hAnsi="Times New Roman" w:eastAsia="宋体" w:cs="Times New Roman"/>
    </w:rPr>
  </w:style>
  <w:style w:type="character" w:customStyle="1" w:styleId="146">
    <w:name w:val="normal2"/>
    <w:autoRedefine/>
    <w:qFormat/>
    <w:uiPriority w:val="0"/>
    <w:rPr>
      <w:rFonts w:ascii="Times New Roman" w:hAnsi="Times New Roman" w:eastAsia="宋体" w:cs="Times New Roman"/>
      <w:color w:val="FFFFFF"/>
    </w:rPr>
  </w:style>
  <w:style w:type="paragraph" w:customStyle="1" w:styleId="147">
    <w:name w:val="font25"/>
    <w:basedOn w:val="1"/>
    <w:autoRedefine/>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48">
    <w:name w:val="_Style 142"/>
    <w:basedOn w:val="2"/>
    <w:next w:val="1"/>
    <w:autoRedefine/>
    <w:qFormat/>
    <w:uiPriority w:val="0"/>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149">
    <w:name w:val="内容with编号"/>
    <w:basedOn w:val="1"/>
    <w:autoRedefine/>
    <w:qFormat/>
    <w:uiPriority w:val="0"/>
    <w:pPr>
      <w:widowControl/>
      <w:tabs>
        <w:tab w:val="left" w:pos="360"/>
        <w:tab w:val="left" w:pos="987"/>
      </w:tabs>
      <w:spacing w:line="360" w:lineRule="auto"/>
      <w:ind w:left="360" w:hanging="360"/>
    </w:pPr>
    <w:rPr>
      <w:rFonts w:ascii="宋体" w:hAnsi="Times New Roman" w:eastAsia="宋体" w:cs="Times New Roman"/>
      <w:kern w:val="0"/>
      <w:sz w:val="24"/>
      <w:szCs w:val="20"/>
    </w:rPr>
  </w:style>
  <w:style w:type="paragraph" w:customStyle="1" w:styleId="150">
    <w:name w:val="正文_10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eastAsia="宋体" w:cs="宋体"/>
      <w:kern w:val="0"/>
      <w:sz w:val="20"/>
      <w:szCs w:val="20"/>
    </w:rPr>
  </w:style>
  <w:style w:type="paragraph" w:customStyle="1" w:styleId="152">
    <w:name w:val="font22"/>
    <w:basedOn w:val="1"/>
    <w:autoRedefine/>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153">
    <w:name w:val=" Char Char Char Char Char"/>
    <w:basedOn w:val="1"/>
    <w:autoRedefine/>
    <w:qFormat/>
    <w:uiPriority w:val="0"/>
    <w:pPr>
      <w:widowControl/>
      <w:spacing w:after="160" w:line="240" w:lineRule="exact"/>
      <w:jc w:val="center"/>
    </w:pPr>
    <w:rPr>
      <w:rFonts w:ascii="黑体" w:hAnsi="Verdana" w:eastAsia="黑体" w:cs="Times New Roman"/>
      <w:kern w:val="0"/>
      <w:sz w:val="32"/>
      <w:szCs w:val="32"/>
      <w:lang w:eastAsia="en-US"/>
    </w:rPr>
  </w:style>
  <w:style w:type="paragraph" w:customStyle="1" w:styleId="154">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pPr>
    <w:rPr>
      <w:rFonts w:ascii="宋体" w:hAnsi="宋体" w:eastAsia="宋体" w:cs="宋体"/>
      <w:kern w:val="0"/>
      <w:sz w:val="20"/>
      <w:szCs w:val="20"/>
    </w:rPr>
  </w:style>
  <w:style w:type="paragraph" w:customStyle="1" w:styleId="155">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宋体" w:hAnsi="宋体" w:eastAsia="宋体" w:cs="宋体"/>
      <w:b/>
      <w:bCs/>
      <w:color w:val="000000"/>
      <w:kern w:val="0"/>
      <w:sz w:val="20"/>
      <w:szCs w:val="20"/>
    </w:rPr>
  </w:style>
  <w:style w:type="paragraph" w:customStyle="1" w:styleId="156">
    <w:name w:val="_Style 51"/>
    <w:basedOn w:val="1"/>
    <w:autoRedefine/>
    <w:qFormat/>
    <w:uiPriority w:val="0"/>
    <w:rPr>
      <w:rFonts w:ascii="Times New Roman" w:hAnsi="Times New Roman" w:eastAsia="宋体" w:cs="Times New Roman"/>
      <w:sz w:val="24"/>
    </w:rPr>
  </w:style>
  <w:style w:type="paragraph" w:customStyle="1" w:styleId="157">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Arial" w:hAnsi="Arial" w:eastAsia="宋体" w:cs="Arial"/>
      <w:b/>
      <w:bCs/>
      <w:color w:val="000000"/>
      <w:kern w:val="0"/>
      <w:sz w:val="20"/>
      <w:szCs w:val="20"/>
    </w:rPr>
  </w:style>
  <w:style w:type="paragraph" w:customStyle="1" w:styleId="158">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right"/>
    </w:pPr>
    <w:rPr>
      <w:rFonts w:ascii="Arial" w:hAnsi="Arial" w:eastAsia="宋体" w:cs="Arial"/>
      <w:color w:val="000000"/>
      <w:kern w:val="0"/>
      <w:sz w:val="20"/>
      <w:szCs w:val="20"/>
    </w:rPr>
  </w:style>
  <w:style w:type="paragraph" w:customStyle="1" w:styleId="159">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60">
    <w:name w:val="日期 Char"/>
    <w:basedOn w:val="1"/>
    <w:autoRedefine/>
    <w:qFormat/>
    <w:uiPriority w:val="0"/>
    <w:pPr>
      <w:widowControl/>
      <w:spacing w:after="160" w:line="240" w:lineRule="exact"/>
      <w:jc w:val="left"/>
    </w:pPr>
    <w:rPr>
      <w:rFonts w:ascii="Verdana" w:hAnsi="Verdana" w:eastAsia="楷体_GB2312" w:cs="Times New Roman"/>
      <w:b/>
      <w:i/>
      <w:iCs/>
      <w:color w:val="000000"/>
      <w:kern w:val="0"/>
      <w:sz w:val="20"/>
      <w:szCs w:val="20"/>
      <w:lang w:eastAsia="en-US"/>
    </w:rPr>
  </w:style>
  <w:style w:type="paragraph" w:customStyle="1" w:styleId="161">
    <w:name w:val="保留正文"/>
    <w:basedOn w:val="20"/>
    <w:autoRedefine/>
    <w:qFormat/>
    <w:uiPriority w:val="0"/>
    <w:pPr>
      <w:keepNext/>
      <w:spacing w:after="160"/>
    </w:pPr>
    <w:rPr>
      <w:rFonts w:ascii="Times New Roman" w:hAnsi="Times New Roman" w:eastAsia="宋体" w:cs="Times New Roman"/>
    </w:rPr>
  </w:style>
  <w:style w:type="paragraph" w:customStyle="1" w:styleId="162">
    <w:name w:val="font9"/>
    <w:basedOn w:val="1"/>
    <w:autoRedefine/>
    <w:qFormat/>
    <w:uiPriority w:val="0"/>
    <w:pPr>
      <w:widowControl/>
      <w:spacing w:before="100" w:beforeAutospacing="1" w:after="100" w:afterAutospacing="1"/>
      <w:jc w:val="left"/>
    </w:pPr>
    <w:rPr>
      <w:rFonts w:ascii="Arial" w:hAnsi="Arial" w:eastAsia="宋体" w:cs="Arial"/>
      <w:kern w:val="0"/>
      <w:sz w:val="20"/>
      <w:szCs w:val="20"/>
    </w:rPr>
  </w:style>
  <w:style w:type="paragraph" w:customStyle="1" w:styleId="163">
    <w:name w:val="a"/>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164">
    <w:name w:val="标题 3_0_0"/>
    <w:basedOn w:val="165"/>
    <w:next w:val="165"/>
    <w:autoRedefine/>
    <w:qFormat/>
    <w:uiPriority w:val="0"/>
    <w:pPr>
      <w:keepNext/>
      <w:keepLines/>
      <w:spacing w:before="260" w:after="260" w:line="416" w:lineRule="auto"/>
      <w:outlineLvl w:val="2"/>
    </w:pPr>
    <w:rPr>
      <w:rFonts w:ascii="等线" w:hAnsi="等线" w:eastAsia="等线" w:cs="Times New Roman"/>
      <w:b/>
      <w:bCs/>
      <w:sz w:val="32"/>
      <w:szCs w:val="32"/>
    </w:rPr>
  </w:style>
  <w:style w:type="paragraph" w:customStyle="1" w:styleId="165">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Table Paragraph"/>
    <w:basedOn w:val="1"/>
    <w:autoRedefine/>
    <w:qFormat/>
    <w:uiPriority w:val="0"/>
    <w:rPr>
      <w:rFonts w:ascii="Times New Roman" w:hAnsi="Times New Roman" w:eastAsia="宋体" w:cs="Times New Roman"/>
    </w:rPr>
  </w:style>
  <w:style w:type="paragraph" w:customStyle="1" w:styleId="167">
    <w:name w:val="font21"/>
    <w:basedOn w:val="1"/>
    <w:autoRedefine/>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68">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9">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Arial" w:hAnsi="Arial" w:eastAsia="宋体" w:cs="Arial"/>
      <w:kern w:val="0"/>
      <w:sz w:val="20"/>
      <w:szCs w:val="20"/>
    </w:rPr>
  </w:style>
  <w:style w:type="paragraph" w:customStyle="1" w:styleId="170">
    <w:name w:val="项目1"/>
    <w:basedOn w:val="1"/>
    <w:autoRedefine/>
    <w:qFormat/>
    <w:uiPriority w:val="0"/>
    <w:pPr>
      <w:adjustRightInd/>
      <w:spacing w:line="240" w:lineRule="auto"/>
      <w:textAlignment w:val="auto"/>
    </w:pPr>
    <w:rPr>
      <w:rFonts w:ascii="Calibri" w:hAnsi="Calibri" w:eastAsia="宋体" w:cs="Times New Roman"/>
      <w:bCs/>
      <w:kern w:val="2"/>
      <w:sz w:val="21"/>
    </w:rPr>
  </w:style>
  <w:style w:type="paragraph" w:customStyle="1" w:styleId="171">
    <w:name w:val="办公自动化专用正文"/>
    <w:basedOn w:val="1"/>
    <w:autoRedefine/>
    <w:qFormat/>
    <w:uiPriority w:val="0"/>
    <w:pPr>
      <w:spacing w:line="500" w:lineRule="atLeast"/>
      <w:ind w:firstLine="624"/>
    </w:pPr>
    <w:rPr>
      <w:rFonts w:ascii="Times New Roman" w:hAnsi="Times New Roman" w:eastAsia="楷体_GB2312" w:cs="Times New Roman"/>
      <w:sz w:val="32"/>
      <w:szCs w:val="20"/>
    </w:rPr>
  </w:style>
  <w:style w:type="paragraph" w:customStyle="1" w:styleId="172">
    <w:name w:val="_Style 43"/>
    <w:basedOn w:val="1"/>
    <w:autoRedefine/>
    <w:qFormat/>
    <w:uiPriority w:val="0"/>
    <w:rPr>
      <w:rFonts w:ascii="Times New Roman" w:hAnsi="Times New Roman" w:eastAsia="宋体" w:cs="Times New Roman"/>
      <w:sz w:val="24"/>
    </w:rPr>
  </w:style>
  <w:style w:type="paragraph" w:customStyle="1" w:styleId="173">
    <w:name w:val="正文 首行缩进:  2 字符 Char"/>
    <w:basedOn w:val="1"/>
    <w:autoRedefine/>
    <w:qFormat/>
    <w:uiPriority w:val="0"/>
    <w:pPr>
      <w:spacing w:line="360" w:lineRule="auto"/>
      <w:ind w:firstLine="480"/>
    </w:pPr>
    <w:rPr>
      <w:rFonts w:ascii="Times New Roman" w:hAnsi="Times New Roman" w:eastAsia="宋体" w:cs="Times New Roman"/>
      <w:sz w:val="24"/>
      <w:szCs w:val="20"/>
    </w:rPr>
  </w:style>
  <w:style w:type="paragraph" w:customStyle="1" w:styleId="174">
    <w:name w:val="样式1"/>
    <w:basedOn w:val="5"/>
    <w:next w:val="5"/>
    <w:autoRedefine/>
    <w:qFormat/>
    <w:uiPriority w:val="0"/>
    <w:pPr>
      <w:numPr>
        <w:ilvl w:val="3"/>
        <w:numId w:val="0"/>
      </w:numPr>
      <w:tabs>
        <w:tab w:val="left" w:pos="864"/>
        <w:tab w:val="left" w:pos="1680"/>
      </w:tabs>
      <w:ind w:left="1680" w:hanging="420"/>
    </w:pPr>
    <w:rPr>
      <w:rFonts w:ascii="Cambria" w:hAnsi="Cambria" w:eastAsia="宋体" w:cs="Times New Roman"/>
    </w:rPr>
  </w:style>
  <w:style w:type="paragraph" w:customStyle="1" w:styleId="175">
    <w:name w:val="font20"/>
    <w:basedOn w:val="1"/>
    <w:autoRedefine/>
    <w:qFormat/>
    <w:uiPriority w:val="0"/>
    <w:pPr>
      <w:widowControl/>
      <w:spacing w:before="100" w:beforeAutospacing="1" w:after="100" w:afterAutospacing="1"/>
      <w:jc w:val="left"/>
    </w:pPr>
    <w:rPr>
      <w:rFonts w:ascii="宋体" w:hAnsi="宋体" w:eastAsia="宋体" w:cs="宋体"/>
      <w:b/>
      <w:bCs/>
      <w:kern w:val="0"/>
      <w:sz w:val="20"/>
      <w:szCs w:val="20"/>
    </w:rPr>
  </w:style>
  <w:style w:type="paragraph" w:customStyle="1" w:styleId="176">
    <w:name w:val="样式 宋体 首行缩进:  0.74 厘米"/>
    <w:basedOn w:val="1"/>
    <w:autoRedefine/>
    <w:qFormat/>
    <w:uiPriority w:val="0"/>
    <w:pPr>
      <w:spacing w:line="360" w:lineRule="auto"/>
      <w:ind w:firstLine="420"/>
    </w:pPr>
    <w:rPr>
      <w:rFonts w:ascii="宋体" w:hAnsi="Times New Roman" w:eastAsia="宋体" w:cs="宋体"/>
      <w:kern w:val="0"/>
      <w:sz w:val="24"/>
      <w:szCs w:val="20"/>
    </w:rPr>
  </w:style>
  <w:style w:type="paragraph" w:customStyle="1" w:styleId="177">
    <w:name w:val="_Style 1"/>
    <w:basedOn w:val="1"/>
    <w:autoRedefine/>
    <w:qFormat/>
    <w:uiPriority w:val="0"/>
    <w:pPr>
      <w:ind w:firstLine="420" w:firstLineChars="200"/>
    </w:pPr>
    <w:rPr>
      <w:rFonts w:ascii="Times New Roman" w:hAnsi="Times New Roman" w:eastAsia="宋体" w:cs="Times New Roman"/>
    </w:rPr>
  </w:style>
  <w:style w:type="paragraph" w:customStyle="1" w:styleId="178">
    <w:name w:val="List Paragraph1"/>
    <w:basedOn w:val="1"/>
    <w:autoRedefine/>
    <w:qFormat/>
    <w:uiPriority w:val="0"/>
    <w:pPr>
      <w:spacing w:beforeLines="50"/>
      <w:ind w:firstLine="420" w:firstLineChars="200"/>
    </w:pPr>
    <w:rPr>
      <w:rFonts w:ascii="Calibri" w:hAnsi="Calibri" w:eastAsia="宋体" w:cs="Times New Roman"/>
      <w:szCs w:val="22"/>
    </w:rPr>
  </w:style>
  <w:style w:type="paragraph" w:customStyle="1" w:styleId="179">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8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81">
    <w:name w:val="Miaoshu-1"/>
    <w:basedOn w:val="1"/>
    <w:autoRedefine/>
    <w:qFormat/>
    <w:uiPriority w:val="0"/>
    <w:pPr>
      <w:tabs>
        <w:tab w:val="left" w:pos="1271"/>
      </w:tabs>
      <w:spacing w:before="40" w:after="40" w:line="280" w:lineRule="exact"/>
      <w:ind w:left="1271" w:hanging="420"/>
    </w:pPr>
    <w:rPr>
      <w:rFonts w:ascii="Times New Roman" w:hAnsi="Times New Roman" w:eastAsia="宋体" w:cs="Times New Roman"/>
      <w:szCs w:val="21"/>
    </w:rPr>
  </w:style>
  <w:style w:type="paragraph" w:customStyle="1" w:styleId="182">
    <w:name w:val="题注3"/>
    <w:basedOn w:val="1"/>
    <w:next w:val="15"/>
    <w:autoRedefine/>
    <w:qFormat/>
    <w:uiPriority w:val="0"/>
    <w:pPr>
      <w:ind w:left="-107" w:leftChars="-51" w:firstLine="1"/>
      <w:jc w:val="center"/>
    </w:pPr>
    <w:rPr>
      <w:rFonts w:ascii="Times New Roman" w:hAnsi="Times New Roman" w:eastAsia="华文中宋" w:cs="Times New Roman"/>
      <w:b/>
      <w:color w:val="0000FF"/>
      <w:sz w:val="32"/>
    </w:rPr>
  </w:style>
  <w:style w:type="paragraph" w:customStyle="1" w:styleId="183">
    <w:name w:val="题注4"/>
    <w:basedOn w:val="1"/>
    <w:next w:val="15"/>
    <w:autoRedefine/>
    <w:qFormat/>
    <w:uiPriority w:val="0"/>
    <w:pPr>
      <w:snapToGrid w:val="0"/>
      <w:spacing w:line="360" w:lineRule="auto"/>
      <w:ind w:left="480" w:leftChars="29" w:right="-108" w:hanging="419" w:hangingChars="174"/>
      <w:jc w:val="center"/>
    </w:pPr>
    <w:rPr>
      <w:rFonts w:ascii="Times New Roman" w:hAnsi="Times New Roman" w:eastAsia="宋体" w:cs="Times New Roman"/>
      <w:b/>
      <w:bCs/>
      <w:color w:val="000000"/>
      <w:szCs w:val="21"/>
      <w:lang w:val="en-GB"/>
    </w:rPr>
  </w:style>
  <w:style w:type="paragraph" w:customStyle="1" w:styleId="184">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pPr>
    <w:rPr>
      <w:rFonts w:ascii="Arial" w:hAnsi="Arial" w:eastAsia="宋体" w:cs="Arial"/>
      <w:b/>
      <w:bCs/>
      <w:kern w:val="0"/>
      <w:sz w:val="20"/>
      <w:szCs w:val="20"/>
    </w:rPr>
  </w:style>
  <w:style w:type="paragraph" w:customStyle="1" w:styleId="185">
    <w:name w:val="Normal_13"/>
    <w:autoRedefine/>
    <w:qFormat/>
    <w:uiPriority w:val="0"/>
    <w:rPr>
      <w:rFonts w:ascii="Times New Roman" w:hAnsi="Times New Roman" w:eastAsia="Times New Roman" w:cs="Times New Roman"/>
      <w:sz w:val="24"/>
      <w:szCs w:val="24"/>
      <w:lang w:val="en-US" w:eastAsia="zh-CN" w:bidi="ar-SA"/>
    </w:rPr>
  </w:style>
  <w:style w:type="paragraph" w:customStyle="1" w:styleId="186">
    <w:name w:val="Style First line:  0.78 cm"/>
    <w:basedOn w:val="1"/>
    <w:autoRedefine/>
    <w:qFormat/>
    <w:uiPriority w:val="0"/>
    <w:pPr>
      <w:widowControl/>
      <w:spacing w:before="120" w:after="40"/>
      <w:ind w:firstLine="440"/>
      <w:jc w:val="left"/>
    </w:pPr>
    <w:rPr>
      <w:rFonts w:ascii="Tahoma" w:hAnsi="Tahoma" w:eastAsia="微软雅黑" w:cs="宋体"/>
      <w:kern w:val="0"/>
      <w:szCs w:val="21"/>
      <w:lang w:eastAsia="en-US" w:bidi="en-US"/>
    </w:rPr>
  </w:style>
  <w:style w:type="paragraph" w:customStyle="1" w:styleId="187">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4"/>
      <w:szCs w:val="21"/>
    </w:rPr>
  </w:style>
  <w:style w:type="paragraph" w:customStyle="1" w:styleId="188">
    <w:name w:val="表格"/>
    <w:basedOn w:val="1"/>
    <w:next w:val="1"/>
    <w:autoRedefine/>
    <w:qFormat/>
    <w:uiPriority w:val="0"/>
    <w:pPr>
      <w:widowControl/>
      <w:spacing w:beforeLines="50"/>
      <w:jc w:val="left"/>
    </w:pPr>
    <w:rPr>
      <w:rFonts w:ascii="Times New Roman" w:hAnsi="Times New Roman" w:eastAsia="宋体" w:cs="Times New Roman"/>
      <w:kern w:val="0"/>
      <w:lang w:val="en-GB" w:eastAsia="en-US"/>
    </w:rPr>
  </w:style>
  <w:style w:type="paragraph" w:customStyle="1" w:styleId="189">
    <w:name w:val="正文_28_1"/>
    <w:autoRedefine/>
    <w:qFormat/>
    <w:uiPriority w:val="0"/>
    <w:pPr>
      <w:widowControl w:val="0"/>
      <w:spacing w:line="360" w:lineRule="auto"/>
      <w:ind w:left="284" w:hanging="284"/>
      <w:jc w:val="both"/>
    </w:pPr>
    <w:rPr>
      <w:rFonts w:ascii="Calibri" w:hAnsi="Calibri" w:eastAsia="宋体" w:cs="Times New Roman"/>
      <w:kern w:val="2"/>
      <w:sz w:val="21"/>
      <w:szCs w:val="22"/>
      <w:lang w:val="en-US" w:eastAsia="zh-CN" w:bidi="ar-SA"/>
    </w:rPr>
  </w:style>
  <w:style w:type="paragraph" w:customStyle="1" w:styleId="190">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pPr>
    <w:rPr>
      <w:rFonts w:ascii="宋体" w:hAnsi="宋体" w:eastAsia="宋体" w:cs="宋体"/>
      <w:kern w:val="0"/>
      <w:sz w:val="20"/>
      <w:szCs w:val="20"/>
    </w:rPr>
  </w:style>
  <w:style w:type="paragraph" w:customStyle="1" w:styleId="191">
    <w:name w:val="font19"/>
    <w:basedOn w:val="1"/>
    <w:autoRedefine/>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92">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193">
    <w:name w:val="_Style 6"/>
    <w:basedOn w:val="1"/>
    <w:next w:val="1"/>
    <w:autoRedefine/>
    <w:qFormat/>
    <w:uiPriority w:val="0"/>
    <w:pPr>
      <w:pBdr>
        <w:top w:val="single" w:color="auto" w:sz="6" w:space="1"/>
      </w:pBdr>
      <w:jc w:val="center"/>
    </w:pPr>
    <w:rPr>
      <w:rFonts w:ascii="Arial" w:hAnsi="Times New Roman" w:eastAsia="宋体" w:cs="Times New Roman"/>
      <w:vanish/>
      <w:sz w:val="16"/>
    </w:rPr>
  </w:style>
  <w:style w:type="paragraph" w:customStyle="1" w:styleId="194">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pPr>
    <w:rPr>
      <w:rFonts w:ascii="Arial" w:hAnsi="Arial" w:eastAsia="宋体" w:cs="Arial"/>
      <w:kern w:val="0"/>
      <w:sz w:val="20"/>
      <w:szCs w:val="20"/>
    </w:rPr>
  </w:style>
  <w:style w:type="paragraph" w:customStyle="1" w:styleId="195">
    <w:name w:val=" Char Char Char Char"/>
    <w:basedOn w:val="1"/>
    <w:autoRedefine/>
    <w:qFormat/>
    <w:uiPriority w:val="0"/>
    <w:rPr>
      <w:rFonts w:ascii="Tahoma" w:hAnsi="Tahoma" w:eastAsia="宋体" w:cs="Times New Roman"/>
      <w:sz w:val="24"/>
      <w:szCs w:val="20"/>
    </w:rPr>
  </w:style>
  <w:style w:type="paragraph" w:customStyle="1" w:styleId="19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eastAsia="宋体" w:cs="宋体"/>
      <w:color w:val="000000"/>
      <w:kern w:val="0"/>
      <w:sz w:val="20"/>
      <w:szCs w:val="20"/>
    </w:rPr>
  </w:style>
  <w:style w:type="paragraph" w:customStyle="1" w:styleId="19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宋体" w:hAnsi="宋体" w:eastAsia="宋体" w:cs="宋体"/>
      <w:b/>
      <w:bCs/>
      <w:color w:val="000000"/>
      <w:kern w:val="0"/>
      <w:sz w:val="20"/>
      <w:szCs w:val="20"/>
    </w:rPr>
  </w:style>
  <w:style w:type="paragraph" w:customStyle="1" w:styleId="198">
    <w:name w:val="Char Char Char"/>
    <w:basedOn w:val="1"/>
    <w:autoRedefine/>
    <w:qFormat/>
    <w:uiPriority w:val="0"/>
    <w:rPr>
      <w:rFonts w:ascii="Tahoma" w:hAnsi="Tahoma" w:eastAsia="宋体" w:cs="Times New Roman"/>
      <w:sz w:val="24"/>
      <w:szCs w:val="20"/>
    </w:rPr>
  </w:style>
  <w:style w:type="paragraph" w:customStyle="1" w:styleId="199">
    <w:name w:val="正文_8"/>
    <w:autoRedefine/>
    <w:qFormat/>
    <w:uiPriority w:val="0"/>
    <w:pPr>
      <w:widowControl w:val="0"/>
      <w:jc w:val="both"/>
    </w:pPr>
    <w:rPr>
      <w:rFonts w:ascii="等线" w:hAnsi="等线" w:eastAsia="等线" w:cs="Times New Roman"/>
      <w:kern w:val="2"/>
      <w:sz w:val="21"/>
      <w:szCs w:val="22"/>
      <w:lang w:val="en-US" w:eastAsia="zh-CN" w:bidi="ar-SA"/>
    </w:rPr>
  </w:style>
  <w:style w:type="paragraph" w:customStyle="1" w:styleId="200">
    <w:name w:val="font1"/>
    <w:basedOn w:val="1"/>
    <w:autoRedefine/>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201">
    <w:name w:val="图"/>
    <w:basedOn w:val="1"/>
    <w:autoRedefine/>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rPr>
  </w:style>
  <w:style w:type="paragraph" w:customStyle="1" w:styleId="202">
    <w:name w:val="Char1 Char Char Char Char Char Char Char Char Char Char Char Char"/>
    <w:basedOn w:val="1"/>
    <w:autoRedefine/>
    <w:qFormat/>
    <w:uiPriority w:val="0"/>
    <w:rPr>
      <w:rFonts w:ascii="Tahoma" w:hAnsi="Tahoma" w:eastAsia="宋体" w:cs="Times New Roman"/>
      <w:sz w:val="24"/>
      <w:szCs w:val="20"/>
    </w:rPr>
  </w:style>
  <w:style w:type="paragraph" w:customStyle="1" w:styleId="203">
    <w:name w:val="正文_7"/>
    <w:autoRedefine/>
    <w:qFormat/>
    <w:uiPriority w:val="0"/>
    <w:pPr>
      <w:widowControl w:val="0"/>
      <w:jc w:val="both"/>
    </w:pPr>
    <w:rPr>
      <w:rFonts w:ascii="等线" w:hAnsi="等线" w:eastAsia="等线" w:cs="Times New Roman"/>
      <w:kern w:val="2"/>
      <w:sz w:val="21"/>
      <w:szCs w:val="22"/>
      <w:lang w:val="en-US" w:eastAsia="zh-CN" w:bidi="ar-SA"/>
    </w:rPr>
  </w:style>
  <w:style w:type="paragraph" w:customStyle="1" w:styleId="204">
    <w:name w:val="font16"/>
    <w:basedOn w:val="1"/>
    <w:autoRedefine/>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205">
    <w:name w:val="表格，Alt+T"/>
    <w:basedOn w:val="1"/>
    <w:autoRedefine/>
    <w:qFormat/>
    <w:uiPriority w:val="0"/>
    <w:pPr>
      <w:overflowPunct w:val="0"/>
      <w:autoSpaceDE w:val="0"/>
      <w:autoSpaceDN w:val="0"/>
      <w:adjustRightInd w:val="0"/>
      <w:spacing w:line="0" w:lineRule="atLeast"/>
      <w:jc w:val="left"/>
      <w:textAlignment w:val="baseline"/>
    </w:pPr>
    <w:rPr>
      <w:rFonts w:ascii="宋体" w:hAnsi="Times New Roman" w:eastAsia="宋体" w:cs="Times New Roman"/>
      <w:kern w:val="0"/>
      <w:szCs w:val="20"/>
    </w:rPr>
  </w:style>
  <w:style w:type="paragraph" w:customStyle="1" w:styleId="206">
    <w:name w:val="样式 正文（首行缩进两字） + 首行缩进:  2 字符"/>
    <w:basedOn w:val="14"/>
    <w:autoRedefine/>
    <w:qFormat/>
    <w:uiPriority w:val="0"/>
    <w:pPr>
      <w:widowControl w:val="0"/>
      <w:spacing w:line="360" w:lineRule="auto"/>
      <w:ind w:firstLine="480"/>
      <w:jc w:val="both"/>
    </w:pPr>
    <w:rPr>
      <w:rFonts w:ascii="Times New Roman" w:hAnsi="Times New Roman" w:eastAsia="宋体" w:cs="Times New Roman"/>
      <w:kern w:val="2"/>
      <w:sz w:val="24"/>
    </w:rPr>
  </w:style>
  <w:style w:type="paragraph" w:customStyle="1" w:styleId="207">
    <w:name w:val="font5"/>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08">
    <w:name w:val="font24"/>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0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Arial" w:hAnsi="Arial" w:eastAsia="宋体" w:cs="Arial"/>
      <w:color w:val="000000"/>
      <w:kern w:val="0"/>
      <w:sz w:val="20"/>
      <w:szCs w:val="20"/>
    </w:rPr>
  </w:style>
  <w:style w:type="paragraph" w:customStyle="1" w:styleId="210">
    <w:name w:val=" Char"/>
    <w:basedOn w:val="1"/>
    <w:autoRedefine/>
    <w:qFormat/>
    <w:uiPriority w:val="0"/>
    <w:rPr>
      <w:rFonts w:ascii="Tahoma" w:hAnsi="Tahoma" w:eastAsia="宋体" w:cs="Times New Roman"/>
      <w:sz w:val="24"/>
      <w:szCs w:val="20"/>
    </w:rPr>
  </w:style>
  <w:style w:type="paragraph" w:customStyle="1" w:styleId="211">
    <w:name w:val="font13"/>
    <w:basedOn w:val="1"/>
    <w:autoRedefine/>
    <w:qFormat/>
    <w:uiPriority w:val="0"/>
    <w:pPr>
      <w:widowControl/>
      <w:spacing w:before="100" w:beforeAutospacing="1" w:after="100" w:afterAutospacing="1"/>
      <w:jc w:val="left"/>
    </w:pPr>
    <w:rPr>
      <w:rFonts w:ascii="Arial" w:hAnsi="Arial" w:eastAsia="宋体" w:cs="Arial"/>
      <w:color w:val="000000"/>
      <w:kern w:val="0"/>
      <w:sz w:val="20"/>
      <w:szCs w:val="20"/>
    </w:rPr>
  </w:style>
  <w:style w:type="paragraph" w:customStyle="1" w:styleId="212">
    <w:name w:val="xl35"/>
    <w:basedOn w:val="1"/>
    <w:autoRedefine/>
    <w:qFormat/>
    <w:uiPriority w:val="0"/>
    <w:pPr>
      <w:widowControl/>
      <w:pBdr>
        <w:bottom w:val="single" w:color="auto" w:sz="8" w:space="0"/>
        <w:right w:val="single" w:color="auto" w:sz="8" w:space="0"/>
      </w:pBdr>
      <w:spacing w:before="100" w:beforeAutospacing="1" w:after="100" w:afterAutospacing="1"/>
      <w:jc w:val="center"/>
      <w:textAlignment w:val="top"/>
    </w:pPr>
    <w:rPr>
      <w:rFonts w:ascii="Arial Unicode MS" w:hAnsi="Arial Unicode MS" w:eastAsia="Arial Unicode MS" w:cs="Times New Roman"/>
      <w:kern w:val="0"/>
      <w:szCs w:val="21"/>
    </w:rPr>
  </w:style>
  <w:style w:type="paragraph" w:styleId="213">
    <w:name w:val="List Paragraph"/>
    <w:basedOn w:val="1"/>
    <w:autoRedefine/>
    <w:qFormat/>
    <w:uiPriority w:val="0"/>
    <w:pPr>
      <w:ind w:firstLine="420" w:firstLineChars="200"/>
    </w:pPr>
    <w:rPr>
      <w:rFonts w:ascii="Times New Roman" w:hAnsi="Times New Roman" w:eastAsia="宋体" w:cs="Times New Roman"/>
    </w:rPr>
  </w:style>
  <w:style w:type="paragraph" w:customStyle="1" w:styleId="214">
    <w:name w:val=" Char1 Char Char Char Char Char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215">
    <w:name w:val="正文_2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6">
    <w:name w:val="书籍标题1"/>
    <w:basedOn w:val="1"/>
    <w:next w:val="1"/>
    <w:autoRedefine/>
    <w:qFormat/>
    <w:uiPriority w:val="0"/>
    <w:pPr>
      <w:pageBreakBefore/>
      <w:widowControl/>
      <w:numPr>
        <w:ilvl w:val="0"/>
        <w:numId w:val="1"/>
      </w:numPr>
      <w:spacing w:beforeLines="200" w:afterLines="200"/>
      <w:ind w:left="0"/>
      <w:jc w:val="center"/>
      <w:outlineLvl w:val="0"/>
    </w:pPr>
    <w:rPr>
      <w:rFonts w:ascii="Times New Roman" w:hAnsi="Times New Roman" w:eastAsia="黑体" w:cs="Times New Roman"/>
      <w:b/>
      <w:bCs/>
      <w:spacing w:val="20"/>
      <w:kern w:val="44"/>
      <w:sz w:val="44"/>
      <w:szCs w:val="20"/>
    </w:rPr>
  </w:style>
  <w:style w:type="paragraph" w:customStyle="1" w:styleId="217">
    <w:name w:val="正文表格"/>
    <w:basedOn w:val="1"/>
    <w:autoRedefine/>
    <w:qFormat/>
    <w:uiPriority w:val="0"/>
    <w:pPr>
      <w:adjustRightInd w:val="0"/>
      <w:spacing w:before="40" w:after="40"/>
      <w:textAlignment w:val="baseline"/>
    </w:pPr>
    <w:rPr>
      <w:rFonts w:ascii="Times New Roman" w:hAnsi="Times New Roman" w:eastAsia="宋体" w:cs="Times New Roman"/>
      <w:kern w:val="0"/>
      <w:sz w:val="24"/>
      <w:szCs w:val="20"/>
    </w:rPr>
  </w:style>
  <w:style w:type="paragraph" w:customStyle="1" w:styleId="218">
    <w:name w:val="标准正文"/>
    <w:basedOn w:val="1"/>
    <w:autoRedefine/>
    <w:qFormat/>
    <w:uiPriority w:val="0"/>
    <w:pPr>
      <w:spacing w:before="156" w:after="156" w:line="360" w:lineRule="auto"/>
      <w:ind w:firstLine="480" w:firstLineChars="200"/>
    </w:pPr>
    <w:rPr>
      <w:rFonts w:ascii="Times New Roman" w:hAnsi="Times New Roman" w:eastAsia="宋体" w:cs="宋体"/>
      <w:sz w:val="24"/>
      <w:szCs w:val="20"/>
    </w:rPr>
  </w:style>
  <w:style w:type="paragraph" w:customStyle="1" w:styleId="219">
    <w:name w:val="xl43"/>
    <w:basedOn w:val="1"/>
    <w:autoRedefine/>
    <w:qFormat/>
    <w:uiPriority w:val="0"/>
    <w:pPr>
      <w:widowControl/>
      <w:spacing w:before="100" w:beforeAutospacing="1" w:after="100" w:afterAutospacing="1"/>
      <w:jc w:val="center"/>
    </w:pPr>
    <w:rPr>
      <w:rFonts w:ascii="Times New Roman" w:hAnsi="Times New Roman" w:eastAsia="宋体" w:cs="Times New Roman"/>
      <w:b/>
      <w:bCs/>
      <w:kern w:val="0"/>
      <w:sz w:val="44"/>
      <w:szCs w:val="44"/>
    </w:rPr>
  </w:style>
  <w:style w:type="paragraph" w:customStyle="1" w:styleId="220">
    <w:name w:val="Normal_53"/>
    <w:autoRedefine/>
    <w:qFormat/>
    <w:uiPriority w:val="0"/>
    <w:rPr>
      <w:rFonts w:ascii="Times New Roman" w:hAnsi="Times New Roman" w:eastAsia="Times New Roman" w:cs="Times New Roman"/>
      <w:sz w:val="24"/>
      <w:szCs w:val="24"/>
      <w:lang w:bidi="ar-SA"/>
    </w:rPr>
  </w:style>
  <w:style w:type="paragraph" w:customStyle="1" w:styleId="22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2">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right"/>
    </w:pPr>
    <w:rPr>
      <w:rFonts w:ascii="Arial" w:hAnsi="Arial" w:eastAsia="宋体" w:cs="Arial"/>
      <w:b/>
      <w:bCs/>
      <w:color w:val="000000"/>
      <w:kern w:val="0"/>
      <w:sz w:val="20"/>
      <w:szCs w:val="20"/>
    </w:rPr>
  </w:style>
  <w:style w:type="paragraph" w:customStyle="1" w:styleId="223">
    <w:name w:val="列出段落_0_0"/>
    <w:basedOn w:val="1"/>
    <w:autoRedefine/>
    <w:qFormat/>
    <w:uiPriority w:val="0"/>
    <w:pPr>
      <w:spacing w:line="240" w:lineRule="auto"/>
      <w:ind w:firstLine="420"/>
    </w:pPr>
    <w:rPr>
      <w:rFonts w:ascii="Calibri" w:hAnsi="Calibri" w:eastAsia="宋体" w:cs="Times New Roman"/>
      <w:szCs w:val="22"/>
    </w:rPr>
  </w:style>
  <w:style w:type="paragraph" w:customStyle="1" w:styleId="224">
    <w:name w:val="font12"/>
    <w:basedOn w:val="1"/>
    <w:autoRedefine/>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225">
    <w:name w:val="font23"/>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26">
    <w:name w:val="方案正文"/>
    <w:basedOn w:val="1"/>
    <w:autoRedefine/>
    <w:qFormat/>
    <w:uiPriority w:val="0"/>
    <w:pPr>
      <w:spacing w:before="156" w:line="360" w:lineRule="auto"/>
      <w:ind w:firstLine="359" w:firstLineChars="171"/>
      <w:jc w:val="left"/>
    </w:pPr>
    <w:rPr>
      <w:rFonts w:ascii="Arial" w:hAnsi="Arial" w:eastAsia="宋体" w:cs="宋体"/>
      <w:sz w:val="24"/>
      <w:szCs w:val="21"/>
    </w:rPr>
  </w:style>
  <w:style w:type="paragraph" w:customStyle="1" w:styleId="227">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Arial" w:hAnsi="Arial" w:eastAsia="宋体" w:cs="Arial"/>
      <w:kern w:val="0"/>
      <w:sz w:val="20"/>
      <w:szCs w:val="20"/>
    </w:rPr>
  </w:style>
  <w:style w:type="paragraph" w:customStyle="1" w:styleId="228">
    <w:name w:val="font18"/>
    <w:basedOn w:val="1"/>
    <w:autoRedefine/>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9">
    <w:name w:val="font17"/>
    <w:basedOn w:val="1"/>
    <w:autoRedefine/>
    <w:qFormat/>
    <w:uiPriority w:val="0"/>
    <w:pPr>
      <w:widowControl/>
      <w:spacing w:before="100" w:beforeAutospacing="1" w:after="100" w:afterAutospacing="1"/>
      <w:jc w:val="left"/>
    </w:pPr>
    <w:rPr>
      <w:rFonts w:ascii="宋体" w:hAnsi="宋体" w:eastAsia="宋体" w:cs="宋体"/>
      <w:b/>
      <w:bCs/>
      <w:kern w:val="0"/>
      <w:sz w:val="20"/>
      <w:szCs w:val="20"/>
    </w:rPr>
  </w:style>
  <w:style w:type="paragraph" w:customStyle="1" w:styleId="230">
    <w:name w:val="正文_3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1">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Arial" w:hAnsi="Arial" w:eastAsia="宋体" w:cs="Arial"/>
      <w:color w:val="000000"/>
      <w:kern w:val="0"/>
      <w:sz w:val="20"/>
      <w:szCs w:val="20"/>
    </w:rPr>
  </w:style>
  <w:style w:type="paragraph" w:customStyle="1" w:styleId="232">
    <w:name w:val="tabletext"/>
    <w:basedOn w:val="1"/>
    <w:autoRedefine/>
    <w:qFormat/>
    <w:uiPriority w:val="0"/>
    <w:pPr>
      <w:widowControl/>
      <w:spacing w:line="300" w:lineRule="atLeast"/>
      <w:jc w:val="left"/>
    </w:pPr>
    <w:rPr>
      <w:rFonts w:ascii="宋体" w:hAnsi="宋体" w:eastAsia="宋体" w:cs="Times New Roman"/>
      <w:kern w:val="0"/>
      <w:sz w:val="18"/>
      <w:szCs w:val="18"/>
    </w:rPr>
  </w:style>
  <w:style w:type="paragraph" w:customStyle="1" w:styleId="233">
    <w:name w:val="Char1"/>
    <w:basedOn w:val="1"/>
    <w:autoRedefine/>
    <w:qFormat/>
    <w:uiPriority w:val="0"/>
    <w:pPr>
      <w:tabs>
        <w:tab w:val="left" w:pos="840"/>
      </w:tabs>
      <w:ind w:left="840" w:hanging="420"/>
    </w:pPr>
    <w:rPr>
      <w:rFonts w:ascii="Times New Roman" w:hAnsi="Times New Roman" w:eastAsia="宋体" w:cs="Times New Roman"/>
      <w:sz w:val="24"/>
    </w:rPr>
  </w:style>
  <w:style w:type="paragraph" w:customStyle="1" w:styleId="234">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eastAsia="宋体" w:cs="宋体"/>
      <w:color w:val="000000"/>
      <w:kern w:val="0"/>
      <w:sz w:val="20"/>
      <w:szCs w:val="20"/>
    </w:rPr>
  </w:style>
  <w:style w:type="paragraph" w:customStyle="1" w:styleId="236">
    <w:name w:val="Normal_27"/>
    <w:autoRedefine/>
    <w:qFormat/>
    <w:uiPriority w:val="0"/>
    <w:rPr>
      <w:rFonts w:ascii="Times New Roman" w:hAnsi="Times New Roman" w:eastAsia="Times New Roman" w:cs="Times New Roman"/>
      <w:sz w:val="24"/>
      <w:szCs w:val="24"/>
      <w:lang w:val="en-US" w:eastAsia="zh-CN" w:bidi="ar-SA"/>
    </w:rPr>
  </w:style>
  <w:style w:type="paragraph" w:customStyle="1" w:styleId="237">
    <w:name w:val="样式 标题 1 + 居中 段前: 7.8 磅"/>
    <w:basedOn w:val="2"/>
    <w:autoRedefine/>
    <w:qFormat/>
    <w:uiPriority w:val="0"/>
    <w:pPr>
      <w:tabs>
        <w:tab w:val="left" w:pos="987"/>
      </w:tabs>
      <w:spacing w:before="156" w:line="576" w:lineRule="auto"/>
      <w:ind w:left="987" w:hanging="420"/>
      <w:jc w:val="center"/>
    </w:pPr>
    <w:rPr>
      <w:rFonts w:ascii="Times New Roman" w:hAnsi="Times New Roman" w:eastAsia="宋体" w:cs="宋体"/>
      <w:szCs w:val="20"/>
    </w:rPr>
  </w:style>
  <w:style w:type="paragraph" w:customStyle="1" w:styleId="238">
    <w:name w:val="xl7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pPr>
    <w:rPr>
      <w:rFonts w:ascii="Arial" w:hAnsi="Arial" w:eastAsia="宋体" w:cs="Arial"/>
      <w:b/>
      <w:bCs/>
      <w:kern w:val="0"/>
      <w:sz w:val="20"/>
      <w:szCs w:val="20"/>
    </w:rPr>
  </w:style>
  <w:style w:type="paragraph" w:customStyle="1" w:styleId="239">
    <w:name w:val="正文_14"/>
    <w:autoRedefine/>
    <w:qFormat/>
    <w:uiPriority w:val="0"/>
    <w:pPr>
      <w:widowControl w:val="0"/>
      <w:adjustRightInd w:val="0"/>
      <w:spacing w:line="360" w:lineRule="atLeast"/>
      <w:jc w:val="both"/>
      <w:textAlignment w:val="baseline"/>
    </w:pPr>
    <w:rPr>
      <w:rFonts w:ascii="Times New Roman" w:hAnsi="Times New Roman" w:eastAsia="宋体" w:cs="Times New Roman"/>
      <w:szCs w:val="24"/>
      <w:lang w:val="en-US" w:eastAsia="zh-CN" w:bidi="ar-SA"/>
    </w:rPr>
  </w:style>
  <w:style w:type="paragraph" w:customStyle="1" w:styleId="240">
    <w:name w:val="样式 正文首行缩进 + 首行缩进:  2 字符"/>
    <w:basedOn w:val="51"/>
    <w:autoRedefine/>
    <w:qFormat/>
    <w:uiPriority w:val="0"/>
    <w:pPr>
      <w:spacing w:after="0" w:line="360" w:lineRule="auto"/>
      <w:ind w:firstLine="200" w:firstLineChars="200"/>
    </w:pPr>
    <w:rPr>
      <w:rFonts w:ascii="Times New Roman" w:hAnsi="Times New Roman" w:eastAsia="宋体" w:cs="宋体"/>
      <w:sz w:val="24"/>
      <w:szCs w:val="20"/>
    </w:rPr>
  </w:style>
  <w:style w:type="paragraph" w:customStyle="1" w:styleId="241">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pPr>
    <w:rPr>
      <w:rFonts w:ascii="宋体" w:hAnsi="宋体" w:eastAsia="宋体" w:cs="宋体"/>
      <w:b/>
      <w:bCs/>
      <w:kern w:val="0"/>
      <w:sz w:val="20"/>
      <w:szCs w:val="20"/>
    </w:rPr>
  </w:style>
  <w:style w:type="paragraph" w:customStyle="1" w:styleId="242">
    <w:name w:val="font10"/>
    <w:basedOn w:val="1"/>
    <w:autoRedefine/>
    <w:qFormat/>
    <w:uiPriority w:val="0"/>
    <w:pPr>
      <w:widowControl/>
      <w:spacing w:before="100" w:beforeAutospacing="1" w:after="100" w:afterAutospacing="1"/>
      <w:jc w:val="left"/>
    </w:pPr>
    <w:rPr>
      <w:rFonts w:ascii="Arial" w:hAnsi="Arial" w:eastAsia="宋体" w:cs="Arial"/>
      <w:color w:val="000000"/>
      <w:kern w:val="0"/>
      <w:sz w:val="20"/>
      <w:szCs w:val="20"/>
    </w:rPr>
  </w:style>
  <w:style w:type="paragraph" w:customStyle="1" w:styleId="243">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Arial" w:hAnsi="Arial" w:eastAsia="宋体" w:cs="Arial"/>
      <w:kern w:val="0"/>
      <w:sz w:val="20"/>
      <w:szCs w:val="20"/>
    </w:rPr>
  </w:style>
  <w:style w:type="paragraph" w:customStyle="1" w:styleId="244">
    <w:name w:val="Char Char Char1"/>
    <w:basedOn w:val="1"/>
    <w:autoRedefine/>
    <w:qFormat/>
    <w:uiPriority w:val="0"/>
    <w:rPr>
      <w:rFonts w:ascii="Tahoma" w:hAnsi="Tahoma" w:eastAsia="宋体" w:cs="Times New Roman"/>
      <w:sz w:val="24"/>
      <w:szCs w:val="20"/>
    </w:rPr>
  </w:style>
  <w:style w:type="paragraph" w:customStyle="1" w:styleId="245">
    <w:name w:val="题注5"/>
    <w:basedOn w:val="1"/>
    <w:next w:val="15"/>
    <w:autoRedefine/>
    <w:qFormat/>
    <w:uiPriority w:val="0"/>
    <w:pPr>
      <w:tabs>
        <w:tab w:val="left" w:pos="720"/>
      </w:tabs>
      <w:spacing w:line="360" w:lineRule="auto"/>
      <w:ind w:left="720" w:hanging="720"/>
    </w:pPr>
    <w:rPr>
      <w:rFonts w:ascii="Times New Roman" w:hAnsi="Times New Roman" w:eastAsia="宋体" w:cs="Times New Roman"/>
      <w:b/>
      <w:color w:val="000000"/>
      <w:sz w:val="28"/>
      <w:szCs w:val="28"/>
    </w:rPr>
  </w:style>
  <w:style w:type="paragraph" w:customStyle="1" w:styleId="246">
    <w:name w:val="p0"/>
    <w:basedOn w:val="1"/>
    <w:autoRedefine/>
    <w:qFormat/>
    <w:uiPriority w:val="0"/>
    <w:pPr>
      <w:widowControl/>
    </w:pPr>
    <w:rPr>
      <w:rFonts w:ascii="Times New Roman" w:hAnsi="Times New Roman" w:eastAsia="宋体" w:cs="Times New Roman"/>
      <w:kern w:val="0"/>
      <w:szCs w:val="21"/>
    </w:rPr>
  </w:style>
  <w:style w:type="paragraph" w:customStyle="1" w:styleId="247">
    <w:name w:val=" Char Char1 Char"/>
    <w:basedOn w:val="1"/>
    <w:autoRedefine/>
    <w:qFormat/>
    <w:uiPriority w:val="0"/>
    <w:pPr>
      <w:adjustRightInd w:val="0"/>
      <w:jc w:val="left"/>
      <w:textAlignment w:val="baseline"/>
    </w:pPr>
    <w:rPr>
      <w:rFonts w:ascii="Times New Roman" w:hAnsi="Times New Roman" w:eastAsia="宋体" w:cs="Times New Roman"/>
      <w:kern w:val="0"/>
      <w:szCs w:val="20"/>
    </w:rPr>
  </w:style>
  <w:style w:type="paragraph" w:customStyle="1" w:styleId="248">
    <w:name w:val=" Char1 Char Char Char Char Char Char Char Char Char Char Char Char"/>
    <w:basedOn w:val="1"/>
    <w:autoRedefine/>
    <w:qFormat/>
    <w:uiPriority w:val="0"/>
    <w:rPr>
      <w:rFonts w:ascii="Tahoma" w:hAnsi="Tahoma" w:eastAsia="宋体" w:cs="Times New Roman"/>
      <w:sz w:val="24"/>
      <w:szCs w:val="20"/>
    </w:rPr>
  </w:style>
  <w:style w:type="paragraph" w:customStyle="1" w:styleId="249">
    <w:name w:val="font11"/>
    <w:basedOn w:val="1"/>
    <w:autoRedefine/>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50">
    <w:name w:val="font6"/>
    <w:basedOn w:val="1"/>
    <w:autoRedefine/>
    <w:qFormat/>
    <w:uiPriority w:val="0"/>
    <w:pPr>
      <w:widowControl/>
      <w:spacing w:before="100" w:beforeAutospacing="1" w:after="100" w:afterAutospacing="1"/>
      <w:jc w:val="left"/>
    </w:pPr>
    <w:rPr>
      <w:rFonts w:ascii="Arial" w:hAnsi="Arial" w:eastAsia="宋体" w:cs="Arial"/>
      <w:color w:val="000000"/>
      <w:kern w:val="0"/>
      <w:sz w:val="24"/>
    </w:rPr>
  </w:style>
  <w:style w:type="paragraph" w:customStyle="1" w:styleId="251">
    <w:name w:val="_Style 3"/>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2">
    <w:name w:val="默认段落字体 Para Char"/>
    <w:basedOn w:val="1"/>
    <w:autoRedefine/>
    <w:qFormat/>
    <w:uiPriority w:val="0"/>
    <w:rPr>
      <w:rFonts w:ascii="Tahoma" w:hAnsi="Tahoma" w:eastAsia="宋体" w:cs="Times New Roman"/>
      <w:sz w:val="24"/>
      <w:szCs w:val="20"/>
    </w:rPr>
  </w:style>
  <w:style w:type="paragraph" w:customStyle="1" w:styleId="253">
    <w:name w:val=" Char1"/>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254">
    <w:name w:val="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25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Arial" w:hAnsi="Arial" w:eastAsia="宋体" w:cs="Arial"/>
      <w:b/>
      <w:bCs/>
      <w:color w:val="000000"/>
      <w:kern w:val="0"/>
      <w:sz w:val="20"/>
      <w:szCs w:val="20"/>
    </w:rPr>
  </w:style>
  <w:style w:type="paragraph" w:customStyle="1" w:styleId="256">
    <w:name w:val="书籍标题4"/>
    <w:basedOn w:val="1"/>
    <w:next w:val="1"/>
    <w:autoRedefine/>
    <w:qFormat/>
    <w:uiPriority w:val="0"/>
    <w:pPr>
      <w:numPr>
        <w:ilvl w:val="0"/>
        <w:numId w:val="2"/>
      </w:numPr>
      <w:tabs>
        <w:tab w:val="left" w:pos="1680"/>
      </w:tabs>
      <w:ind w:left="567"/>
      <w:jc w:val="left"/>
      <w:outlineLvl w:val="3"/>
    </w:pPr>
    <w:rPr>
      <w:rFonts w:ascii="Times New Roman" w:hAnsi="Times New Roman" w:eastAsia="宋体" w:cs="Times New Roman"/>
      <w:b/>
      <w:bCs/>
      <w:spacing w:val="20"/>
      <w:sz w:val="24"/>
      <w:szCs w:val="21"/>
      <w:lang w:val="zh-CN"/>
    </w:rPr>
  </w:style>
  <w:style w:type="paragraph" w:customStyle="1" w:styleId="257">
    <w:name w:val="_Style 252"/>
    <w:autoRedefine/>
    <w:qFormat/>
    <w:uiPriority w:val="0"/>
    <w:rPr>
      <w:rFonts w:ascii="Times New Roman" w:hAnsi="Times New Roman" w:eastAsia="宋体" w:cs="Times New Roman"/>
      <w:kern w:val="2"/>
      <w:sz w:val="21"/>
      <w:szCs w:val="24"/>
      <w:lang w:val="en-US" w:eastAsia="zh-CN" w:bidi="ar-SA"/>
    </w:rPr>
  </w:style>
  <w:style w:type="paragraph" w:customStyle="1" w:styleId="258">
    <w:name w:val="SF表头文字"/>
    <w:basedOn w:val="1"/>
    <w:autoRedefine/>
    <w:qFormat/>
    <w:uiPriority w:val="0"/>
    <w:pPr>
      <w:spacing w:line="240" w:lineRule="exact"/>
      <w:jc w:val="center"/>
    </w:pPr>
    <w:rPr>
      <w:rFonts w:ascii="Century Gothic" w:hAnsi="Century Gothic" w:eastAsia="宋体" w:cs="Times New Roman"/>
      <w:b/>
      <w:w w:val="80"/>
      <w:sz w:val="18"/>
    </w:rPr>
  </w:style>
  <w:style w:type="paragraph" w:customStyle="1" w:styleId="25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eastAsia="宋体" w:cs="宋体"/>
      <w:kern w:val="0"/>
      <w:sz w:val="20"/>
      <w:szCs w:val="20"/>
    </w:rPr>
  </w:style>
  <w:style w:type="paragraph" w:customStyle="1" w:styleId="260">
    <w:name w:val="*正文"/>
    <w:basedOn w:val="189"/>
    <w:autoRedefine/>
    <w:qFormat/>
    <w:uiPriority w:val="0"/>
    <w:pPr>
      <w:widowControl/>
      <w:ind w:firstLine="200" w:firstLineChars="200"/>
      <w:jc w:val="left"/>
    </w:pPr>
    <w:rPr>
      <w:rFonts w:ascii="宋体" w:hAnsi="Times New Roman" w:eastAsia="宋体" w:cs="Times New Roman"/>
      <w:sz w:val="24"/>
      <w:szCs w:val="28"/>
    </w:rPr>
  </w:style>
  <w:style w:type="paragraph" w:customStyle="1" w:styleId="261">
    <w:name w:val="默认段落字体 Para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262">
    <w:name w:val="公文正文"/>
    <w:basedOn w:val="21"/>
    <w:autoRedefine/>
    <w:qFormat/>
    <w:uiPriority w:val="0"/>
    <w:pPr>
      <w:spacing w:after="0"/>
      <w:ind w:left="0" w:leftChars="0" w:firstLine="200" w:firstLineChars="200"/>
    </w:pPr>
    <w:rPr>
      <w:rFonts w:ascii="仿宋_GB2312" w:hAnsi="宋体" w:eastAsia="仿宋_GB2312" w:cs="Times New Roman"/>
      <w:kern w:val="28"/>
      <w:sz w:val="28"/>
    </w:rPr>
  </w:style>
  <w:style w:type="paragraph" w:customStyle="1" w:styleId="263">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Arial" w:hAnsi="Arial" w:eastAsia="宋体" w:cs="Arial"/>
      <w:kern w:val="0"/>
      <w:sz w:val="20"/>
      <w:szCs w:val="20"/>
    </w:rPr>
  </w:style>
  <w:style w:type="paragraph" w:customStyle="1" w:styleId="264">
    <w:name w:val="font15"/>
    <w:basedOn w:val="1"/>
    <w:autoRedefine/>
    <w:qFormat/>
    <w:uiPriority w:val="0"/>
    <w:pPr>
      <w:widowControl/>
      <w:spacing w:before="100" w:beforeAutospacing="1" w:after="100" w:afterAutospacing="1"/>
      <w:jc w:val="left"/>
    </w:pPr>
    <w:rPr>
      <w:rFonts w:ascii="Arial" w:hAnsi="Arial" w:eastAsia="宋体" w:cs="Arial"/>
      <w:b/>
      <w:bCs/>
      <w:color w:val="000000"/>
      <w:kern w:val="0"/>
      <w:sz w:val="20"/>
      <w:szCs w:val="20"/>
    </w:rPr>
  </w:style>
  <w:style w:type="paragraph" w:customStyle="1" w:styleId="265">
    <w:name w:val="font14"/>
    <w:basedOn w:val="1"/>
    <w:autoRedefine/>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66">
    <w:name w:val="Char Char Char Char"/>
    <w:basedOn w:val="1"/>
    <w:autoRedefine/>
    <w:qFormat/>
    <w:uiPriority w:val="0"/>
    <w:pPr>
      <w:widowControl/>
      <w:spacing w:after="160" w:line="240" w:lineRule="exact"/>
      <w:jc w:val="left"/>
    </w:pPr>
    <w:rPr>
      <w:rFonts w:ascii="Times New Roman" w:hAnsi="Times New Roman" w:eastAsia="宋体" w:cs="Times New Roman"/>
    </w:rPr>
  </w:style>
  <w:style w:type="paragraph" w:customStyle="1" w:styleId="267">
    <w:name w:val="font8"/>
    <w:basedOn w:val="1"/>
    <w:autoRedefine/>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68">
    <w:name w:val="题注6"/>
    <w:basedOn w:val="1"/>
    <w:next w:val="15"/>
    <w:autoRedefine/>
    <w:qFormat/>
    <w:uiPriority w:val="0"/>
    <w:pPr>
      <w:tabs>
        <w:tab w:val="left" w:pos="720"/>
      </w:tabs>
      <w:ind w:left="720"/>
    </w:pPr>
    <w:rPr>
      <w:rFonts w:ascii="Times New Roman" w:hAnsi="Times New Roman" w:eastAsia="宋体" w:cs="Times New Roman"/>
      <w:bCs/>
      <w:color w:val="FF0000"/>
      <w:szCs w:val="21"/>
      <w:lang w:val="en-GB"/>
    </w:rPr>
  </w:style>
  <w:style w:type="paragraph" w:customStyle="1" w:styleId="269">
    <w:name w:val="列出段落1"/>
    <w:basedOn w:val="1"/>
    <w:autoRedefine/>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customStyle="1" w:styleId="270">
    <w:name w:val="默认段落字体 Para Char Char Char Char"/>
    <w:basedOn w:val="1"/>
    <w:autoRedefine/>
    <w:qFormat/>
    <w:uiPriority w:val="0"/>
    <w:rPr>
      <w:rFonts w:ascii="Times New Roman" w:hAnsi="Times New Roman" w:eastAsia="宋体" w:cs="Times New Roman"/>
      <w:sz w:val="24"/>
    </w:rPr>
  </w:style>
  <w:style w:type="paragraph" w:customStyle="1" w:styleId="271">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eastAsia="宋体" w:cs="宋体"/>
      <w:kern w:val="0"/>
      <w:sz w:val="20"/>
      <w:szCs w:val="20"/>
    </w:rPr>
  </w:style>
  <w:style w:type="paragraph" w:customStyle="1" w:styleId="272">
    <w:name w:val="xl73"/>
    <w:basedOn w:val="1"/>
    <w:autoRedefine/>
    <w:qFormat/>
    <w:uiPriority w:val="0"/>
    <w:pPr>
      <w:widowControl/>
      <w:spacing w:before="100" w:beforeAutospacing="1" w:after="100" w:afterAutospacing="1"/>
      <w:jc w:val="left"/>
    </w:pPr>
    <w:rPr>
      <w:rFonts w:ascii="Arial" w:hAnsi="Arial" w:eastAsia="宋体" w:cs="Arial"/>
      <w:kern w:val="0"/>
      <w:sz w:val="20"/>
      <w:szCs w:val="20"/>
    </w:rPr>
  </w:style>
  <w:style w:type="paragraph" w:customStyle="1" w:styleId="273">
    <w:name w:val="小标题"/>
    <w:basedOn w:val="1"/>
    <w:next w:val="14"/>
    <w:autoRedefine/>
    <w:qFormat/>
    <w:uiPriority w:val="0"/>
    <w:pPr>
      <w:tabs>
        <w:tab w:val="left" w:pos="420"/>
      </w:tabs>
      <w:spacing w:before="25" w:beforeLines="25" w:after="25" w:afterLines="25"/>
      <w:ind w:left="420" w:hanging="420"/>
    </w:pPr>
    <w:rPr>
      <w:rFonts w:ascii="Arial" w:hAnsi="Arial" w:eastAsia="黑体" w:cs="Times New Roman"/>
      <w:b/>
      <w:sz w:val="28"/>
    </w:rPr>
  </w:style>
  <w:style w:type="paragraph" w:customStyle="1" w:styleId="274">
    <w:name w:val="xl7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pPr>
    <w:rPr>
      <w:rFonts w:ascii="Arial" w:hAnsi="Arial" w:eastAsia="宋体" w:cs="Arial"/>
      <w:kern w:val="0"/>
      <w:sz w:val="20"/>
      <w:szCs w:val="20"/>
    </w:rPr>
  </w:style>
  <w:style w:type="paragraph" w:customStyle="1" w:styleId="275">
    <w:name w:val="正文_1_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276">
    <w:name w:val="正文_5_7"/>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7">
    <w:name w:val="正文_4_8"/>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8">
    <w:name w:val="正文_0_0_4"/>
    <w:autoRedefine/>
    <w:qFormat/>
    <w:uiPriority w:val="99"/>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279">
    <w:name w:val="正文_43"/>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80">
    <w:name w:val="正文_0_0_3_0"/>
    <w:autoRedefine/>
    <w:qFormat/>
    <w:uiPriority w:val="99"/>
    <w:pPr>
      <w:widowControl w:val="0"/>
      <w:jc w:val="both"/>
    </w:pPr>
    <w:rPr>
      <w:rFonts w:ascii="Times New Roman" w:hAnsi="Times New Roman" w:eastAsia="等线" w:cs="Times New Roman"/>
      <w:color w:val="0000FF"/>
      <w:kern w:val="2"/>
      <w:sz w:val="24"/>
      <w:szCs w:val="24"/>
      <w:lang w:val="en-US" w:eastAsia="zh-CN" w:bidi="ar-SA"/>
    </w:rPr>
  </w:style>
  <w:style w:type="paragraph" w:customStyle="1" w:styleId="281">
    <w:name w:val="正文_0_6"/>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82">
    <w:name w:val="正文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283">
    <w:name w:val="（2）样式用"/>
    <w:basedOn w:val="5"/>
    <w:autoRedefine/>
    <w:qFormat/>
    <w:uiPriority w:val="0"/>
    <w:pPr>
      <w:ind w:left="0"/>
    </w:pPr>
  </w:style>
  <w:style w:type="paragraph" w:customStyle="1" w:styleId="284">
    <w:name w:val="Normal_0"/>
    <w:basedOn w:val="1"/>
    <w:autoRedefine/>
    <w:qFormat/>
    <w:uiPriority w:val="0"/>
    <w:pPr>
      <w:widowControl/>
      <w:spacing w:before="120" w:after="240"/>
    </w:pPr>
    <w:rPr>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103</Pages>
  <Words>48900</Words>
  <Characters>51125</Characters>
  <Lines>403</Lines>
  <Paragraphs>113</Paragraphs>
  <TotalTime>6</TotalTime>
  <ScaleCrop>false</ScaleCrop>
  <LinksUpToDate>false</LinksUpToDate>
  <CharactersWithSpaces>54595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2019-07-10T08:38:00Z</dcterms:created>
  <dc:creator>USER</dc:creator>
  <cp:lastModifiedBy>NB</cp:lastModifiedBy>
  <cp:lastPrinted>2023-08-17T01:37:00Z</cp:lastPrinted>
  <dcterms:modified xsi:type="dcterms:W3CDTF">2024-03-22T03:27:04Z</dcterms:modified>
  <dc:title>公开招标方式（货物类）</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91573E90A9CB4E73A315E5E96484BD30_13</vt:lpwstr>
  </property>
</Properties>
</file>